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D4B5" w14:textId="51B44D92" w:rsidR="008C024F" w:rsidRPr="00383E2B" w:rsidRDefault="000F1DB9" w:rsidP="008C024F">
      <w:pPr>
        <w:widowControl w:val="0"/>
        <w:autoSpaceDE w:val="0"/>
        <w:autoSpaceDN w:val="0"/>
        <w:adjustRightInd w:val="0"/>
        <w:spacing w:after="240" w:line="440" w:lineRule="atLeast"/>
        <w:jc w:val="center"/>
        <w:rPr>
          <w:rFonts w:ascii="Times" w:hAnsi="Times" w:cs="Times"/>
          <w:color w:val="000000"/>
          <w:sz w:val="28"/>
          <w:szCs w:val="28"/>
        </w:rPr>
      </w:pPr>
      <w:r w:rsidRPr="00383E2B">
        <w:rPr>
          <w:rFonts w:ascii="Arial" w:hAnsi="Arial" w:cs="Arial"/>
          <w:b/>
          <w:bCs/>
          <w:color w:val="262626"/>
          <w:sz w:val="28"/>
          <w:szCs w:val="28"/>
        </w:rPr>
        <w:t>Nottingham Muslim Women’s Network</w:t>
      </w:r>
      <w:r w:rsidR="008C024F" w:rsidRPr="00383E2B">
        <w:rPr>
          <w:rFonts w:ascii="Arial" w:hAnsi="Arial" w:cs="Arial"/>
          <w:b/>
          <w:bCs/>
          <w:color w:val="262626"/>
          <w:sz w:val="28"/>
          <w:szCs w:val="28"/>
        </w:rPr>
        <w:t xml:space="preserve"> P</w:t>
      </w:r>
      <w:r w:rsidR="00C55732" w:rsidRPr="00383E2B">
        <w:rPr>
          <w:rFonts w:ascii="Arial" w:hAnsi="Arial" w:cs="Arial"/>
          <w:b/>
          <w:bCs/>
          <w:color w:val="262626"/>
          <w:sz w:val="28"/>
          <w:szCs w:val="28"/>
        </w:rPr>
        <w:t>revent</w:t>
      </w:r>
      <w:r w:rsidR="008C024F" w:rsidRPr="00383E2B">
        <w:rPr>
          <w:rFonts w:ascii="Arial" w:hAnsi="Arial" w:cs="Arial"/>
          <w:b/>
          <w:bCs/>
          <w:color w:val="262626"/>
          <w:sz w:val="28"/>
          <w:szCs w:val="28"/>
        </w:rPr>
        <w:t xml:space="preserve"> D</w:t>
      </w:r>
      <w:r w:rsidR="00C55732" w:rsidRPr="00383E2B">
        <w:rPr>
          <w:rFonts w:ascii="Arial" w:hAnsi="Arial" w:cs="Arial"/>
          <w:b/>
          <w:bCs/>
          <w:color w:val="262626"/>
          <w:sz w:val="28"/>
          <w:szCs w:val="28"/>
        </w:rPr>
        <w:t>uty Policy</w:t>
      </w:r>
    </w:p>
    <w:p w14:paraId="6B50EA71" w14:textId="77777777" w:rsidR="00CA21A3" w:rsidRPr="00C55732" w:rsidRDefault="00CA21A3" w:rsidP="0099215C">
      <w:pPr>
        <w:spacing w:after="160"/>
        <w:rPr>
          <w:rFonts w:ascii="Arial" w:hAnsi="Arial" w:cs="Arial"/>
          <w:b/>
          <w:bCs/>
        </w:rPr>
      </w:pPr>
      <w:r w:rsidRPr="00C55732">
        <w:rPr>
          <w:rFonts w:ascii="Arial" w:hAnsi="Arial" w:cs="Arial"/>
          <w:b/>
          <w:bCs/>
        </w:rPr>
        <w:t>1. Purpose</w:t>
      </w:r>
    </w:p>
    <w:p w14:paraId="1A3EDF33" w14:textId="5DA7EE48" w:rsidR="00CA21A3" w:rsidRPr="00C55732" w:rsidRDefault="00CA21A3" w:rsidP="0099215C">
      <w:pPr>
        <w:spacing w:after="160"/>
        <w:rPr>
          <w:rFonts w:ascii="Arial" w:hAnsi="Arial" w:cs="Arial"/>
          <w:sz w:val="22"/>
          <w:szCs w:val="22"/>
        </w:rPr>
      </w:pPr>
      <w:r w:rsidRPr="00C55732">
        <w:rPr>
          <w:rFonts w:ascii="Arial" w:hAnsi="Arial" w:cs="Arial"/>
          <w:sz w:val="22"/>
          <w:szCs w:val="22"/>
        </w:rPr>
        <w:t xml:space="preserve">NMWN is committed to protecting beneficiaries, staff, volunteers and partners from harm, including risks of </w:t>
      </w:r>
      <w:r w:rsidRPr="00C55732">
        <w:rPr>
          <w:rFonts w:ascii="Arial" w:hAnsi="Arial" w:cs="Arial"/>
          <w:b/>
          <w:bCs/>
          <w:sz w:val="22"/>
          <w:szCs w:val="22"/>
        </w:rPr>
        <w:t>radicalisation and extremist influence</w:t>
      </w:r>
      <w:r w:rsidRPr="00C55732">
        <w:rPr>
          <w:rFonts w:ascii="Arial" w:hAnsi="Arial" w:cs="Arial"/>
          <w:sz w:val="22"/>
          <w:szCs w:val="22"/>
        </w:rPr>
        <w:t xml:space="preserve">. This policy sets out how NMWN meets the </w:t>
      </w:r>
      <w:r w:rsidRPr="00C55732">
        <w:rPr>
          <w:rFonts w:ascii="Arial" w:hAnsi="Arial" w:cs="Arial"/>
          <w:b/>
          <w:bCs/>
          <w:sz w:val="22"/>
          <w:szCs w:val="22"/>
        </w:rPr>
        <w:t>Prevent duty</w:t>
      </w:r>
      <w:r w:rsidRPr="00C55732">
        <w:rPr>
          <w:rFonts w:ascii="Arial" w:hAnsi="Arial" w:cs="Arial"/>
          <w:sz w:val="22"/>
          <w:szCs w:val="22"/>
        </w:rPr>
        <w:t xml:space="preserve">—to have </w:t>
      </w:r>
      <w:r w:rsidRPr="00C55732">
        <w:rPr>
          <w:rFonts w:ascii="Arial" w:hAnsi="Arial" w:cs="Arial"/>
          <w:i/>
          <w:iCs/>
          <w:sz w:val="22"/>
          <w:szCs w:val="22"/>
        </w:rPr>
        <w:t>due regard to the need to prevent people from becoming terrorists or supporting terrorism</w:t>
      </w:r>
      <w:r w:rsidRPr="00C55732">
        <w:rPr>
          <w:rFonts w:ascii="Arial" w:hAnsi="Arial" w:cs="Arial"/>
          <w:sz w:val="22"/>
          <w:szCs w:val="22"/>
        </w:rPr>
        <w:t xml:space="preserve">—in line with the </w:t>
      </w:r>
      <w:r w:rsidRPr="00C55732">
        <w:rPr>
          <w:rFonts w:ascii="Arial" w:hAnsi="Arial" w:cs="Arial"/>
          <w:b/>
          <w:bCs/>
          <w:sz w:val="22"/>
          <w:szCs w:val="22"/>
        </w:rPr>
        <w:t>Counter</w:t>
      </w:r>
      <w:r w:rsidRPr="00C55732">
        <w:rPr>
          <w:rFonts w:ascii="Arial" w:hAnsi="Arial" w:cs="Arial"/>
          <w:b/>
          <w:bCs/>
          <w:sz w:val="22"/>
          <w:szCs w:val="22"/>
        </w:rPr>
        <w:noBreakHyphen/>
        <w:t>Terrorism and Security Act 2015 (s.26)</w:t>
      </w:r>
      <w:r w:rsidRPr="00C55732">
        <w:rPr>
          <w:rFonts w:ascii="Arial" w:hAnsi="Arial" w:cs="Arial"/>
          <w:sz w:val="22"/>
          <w:szCs w:val="22"/>
        </w:rPr>
        <w:t xml:space="preserve"> and the </w:t>
      </w:r>
      <w:r w:rsidRPr="00C55732">
        <w:rPr>
          <w:rFonts w:ascii="Arial" w:hAnsi="Arial" w:cs="Arial"/>
          <w:b/>
          <w:bCs/>
          <w:sz w:val="22"/>
          <w:szCs w:val="22"/>
        </w:rPr>
        <w:t>Home Office Prevent Duty Guidance (England &amp; Wales, 2023/24)</w:t>
      </w:r>
      <w:r w:rsidRPr="00C55732">
        <w:rPr>
          <w:rFonts w:ascii="Arial" w:hAnsi="Arial" w:cs="Arial"/>
          <w:sz w:val="22"/>
          <w:szCs w:val="22"/>
        </w:rPr>
        <w:t xml:space="preserve">. </w:t>
      </w:r>
    </w:p>
    <w:p w14:paraId="0B1AD6D9" w14:textId="77777777" w:rsidR="00CA21A3" w:rsidRPr="00C55732" w:rsidRDefault="00CA21A3" w:rsidP="0099215C">
      <w:pPr>
        <w:spacing w:after="160"/>
        <w:rPr>
          <w:rFonts w:ascii="Arial" w:hAnsi="Arial" w:cs="Arial"/>
          <w:sz w:val="22"/>
          <w:szCs w:val="22"/>
        </w:rPr>
      </w:pPr>
    </w:p>
    <w:p w14:paraId="79055B99" w14:textId="77777777" w:rsidR="00CA21A3" w:rsidRPr="00C9510E" w:rsidRDefault="00CA21A3" w:rsidP="0099215C">
      <w:pPr>
        <w:spacing w:after="160"/>
        <w:rPr>
          <w:rFonts w:ascii="Arial" w:hAnsi="Arial" w:cs="Arial"/>
          <w:b/>
          <w:bCs/>
        </w:rPr>
      </w:pPr>
      <w:r w:rsidRPr="00C9510E">
        <w:rPr>
          <w:rFonts w:ascii="Arial" w:hAnsi="Arial" w:cs="Arial"/>
          <w:b/>
          <w:bCs/>
        </w:rPr>
        <w:t>2. Scope</w:t>
      </w:r>
    </w:p>
    <w:p w14:paraId="5D980600" w14:textId="65BF5B66" w:rsidR="00CA21A3" w:rsidRPr="00C55732" w:rsidRDefault="00CA21A3" w:rsidP="0099215C">
      <w:pPr>
        <w:spacing w:after="160"/>
        <w:rPr>
          <w:rFonts w:ascii="Arial" w:hAnsi="Arial" w:cs="Arial"/>
          <w:sz w:val="22"/>
          <w:szCs w:val="22"/>
        </w:rPr>
      </w:pPr>
      <w:r w:rsidRPr="00C55732">
        <w:rPr>
          <w:rFonts w:ascii="Arial" w:hAnsi="Arial" w:cs="Arial"/>
          <w:sz w:val="22"/>
          <w:szCs w:val="22"/>
        </w:rPr>
        <w:t xml:space="preserve">This policy applies to all NMWN trustees, employees, sessional workers, volunteers, contractors and placements engaged in activities delivered by NMWN (in person, online, and hybrid). It complements our Safeguarding, Data Protection, Whistleblowing, and IT/Online Safety policies and Charity Commission safeguarding guidance for charities. </w:t>
      </w:r>
    </w:p>
    <w:p w14:paraId="3378C67B" w14:textId="77777777" w:rsidR="00CA21A3" w:rsidRPr="00C55732" w:rsidRDefault="00CA21A3" w:rsidP="0099215C">
      <w:pPr>
        <w:spacing w:after="160"/>
        <w:rPr>
          <w:rFonts w:ascii="Arial" w:hAnsi="Arial" w:cs="Arial"/>
          <w:b/>
          <w:bCs/>
          <w:sz w:val="22"/>
          <w:szCs w:val="22"/>
        </w:rPr>
      </w:pPr>
    </w:p>
    <w:p w14:paraId="2C2B0CF0" w14:textId="792249DE" w:rsidR="00CA21A3" w:rsidRPr="00C9510E" w:rsidRDefault="00CA21A3" w:rsidP="0099215C">
      <w:pPr>
        <w:spacing w:after="160"/>
        <w:rPr>
          <w:rFonts w:ascii="Arial" w:hAnsi="Arial" w:cs="Arial"/>
          <w:b/>
          <w:bCs/>
        </w:rPr>
      </w:pPr>
      <w:r w:rsidRPr="00C9510E">
        <w:rPr>
          <w:rFonts w:ascii="Arial" w:hAnsi="Arial" w:cs="Arial"/>
          <w:b/>
          <w:bCs/>
        </w:rPr>
        <w:t>3. Statutory context &amp; key changes</w:t>
      </w:r>
    </w:p>
    <w:p w14:paraId="0A9C0BFD" w14:textId="33BA947A" w:rsidR="00CA21A3" w:rsidRPr="00C55732" w:rsidRDefault="00CA21A3" w:rsidP="0099215C">
      <w:pPr>
        <w:numPr>
          <w:ilvl w:val="0"/>
          <w:numId w:val="3"/>
        </w:numPr>
        <w:spacing w:after="160"/>
        <w:rPr>
          <w:rFonts w:ascii="Arial" w:hAnsi="Arial" w:cs="Arial"/>
          <w:sz w:val="22"/>
          <w:szCs w:val="22"/>
        </w:rPr>
      </w:pPr>
      <w:r w:rsidRPr="00C55732">
        <w:rPr>
          <w:rFonts w:ascii="Arial" w:hAnsi="Arial" w:cs="Arial"/>
          <w:b/>
          <w:bCs/>
          <w:sz w:val="22"/>
          <w:szCs w:val="22"/>
        </w:rPr>
        <w:t>Legal duty:</w:t>
      </w:r>
      <w:r w:rsidRPr="00C55732">
        <w:rPr>
          <w:rFonts w:ascii="Arial" w:hAnsi="Arial" w:cs="Arial"/>
          <w:sz w:val="22"/>
          <w:szCs w:val="22"/>
        </w:rPr>
        <w:t xml:space="preserve"> Section 26 CTSA 2015 places the Prevent duty on specified authorities; charities are not “specified authorities” but should follow the guidance as </w:t>
      </w:r>
      <w:r w:rsidRPr="00C55732">
        <w:rPr>
          <w:rFonts w:ascii="Arial" w:hAnsi="Arial" w:cs="Arial"/>
          <w:b/>
          <w:bCs/>
          <w:sz w:val="22"/>
          <w:szCs w:val="22"/>
        </w:rPr>
        <w:t>best practice</w:t>
      </w:r>
      <w:r w:rsidRPr="00C55732">
        <w:rPr>
          <w:rFonts w:ascii="Arial" w:hAnsi="Arial" w:cs="Arial"/>
          <w:sz w:val="22"/>
          <w:szCs w:val="22"/>
        </w:rPr>
        <w:t xml:space="preserve"> within safeguarding and governance. </w:t>
      </w:r>
    </w:p>
    <w:p w14:paraId="1F849040" w14:textId="17E69B79" w:rsidR="00CA21A3" w:rsidRPr="00C55732" w:rsidRDefault="00CA21A3" w:rsidP="0099215C">
      <w:pPr>
        <w:numPr>
          <w:ilvl w:val="0"/>
          <w:numId w:val="3"/>
        </w:numPr>
        <w:spacing w:after="160"/>
        <w:rPr>
          <w:rFonts w:ascii="Arial" w:hAnsi="Arial" w:cs="Arial"/>
          <w:sz w:val="22"/>
          <w:szCs w:val="22"/>
        </w:rPr>
      </w:pPr>
      <w:r w:rsidRPr="00C55732">
        <w:rPr>
          <w:rFonts w:ascii="Arial" w:hAnsi="Arial" w:cs="Arial"/>
          <w:b/>
          <w:bCs/>
          <w:sz w:val="22"/>
          <w:szCs w:val="22"/>
        </w:rPr>
        <w:t>Updated guidance:</w:t>
      </w:r>
      <w:r w:rsidRPr="00C55732">
        <w:rPr>
          <w:rFonts w:ascii="Arial" w:hAnsi="Arial" w:cs="Arial"/>
          <w:sz w:val="22"/>
          <w:szCs w:val="22"/>
        </w:rPr>
        <w:t xml:space="preserve"> The Home Office </w:t>
      </w:r>
      <w:r w:rsidRPr="00C55732">
        <w:rPr>
          <w:rFonts w:ascii="Arial" w:hAnsi="Arial" w:cs="Arial"/>
          <w:b/>
          <w:bCs/>
          <w:sz w:val="22"/>
          <w:szCs w:val="22"/>
        </w:rPr>
        <w:t>revised Prevent duty guidance</w:t>
      </w:r>
      <w:r w:rsidRPr="00C55732">
        <w:rPr>
          <w:rFonts w:ascii="Arial" w:hAnsi="Arial" w:cs="Arial"/>
          <w:sz w:val="22"/>
          <w:szCs w:val="22"/>
        </w:rPr>
        <w:t xml:space="preserve"> (issued Sept 2023, </w:t>
      </w:r>
      <w:r w:rsidRPr="00C55732">
        <w:rPr>
          <w:rFonts w:ascii="Arial" w:hAnsi="Arial" w:cs="Arial"/>
          <w:b/>
          <w:bCs/>
          <w:sz w:val="22"/>
          <w:szCs w:val="22"/>
        </w:rPr>
        <w:t>in force 31 Dec 2023</w:t>
      </w:r>
      <w:r w:rsidRPr="00C55732">
        <w:rPr>
          <w:rFonts w:ascii="Arial" w:hAnsi="Arial" w:cs="Arial"/>
          <w:sz w:val="22"/>
          <w:szCs w:val="22"/>
        </w:rPr>
        <w:t xml:space="preserve">) </w:t>
      </w:r>
      <w:proofErr w:type="gramStart"/>
      <w:r w:rsidRPr="00C55732">
        <w:rPr>
          <w:rFonts w:ascii="Arial" w:hAnsi="Arial" w:cs="Arial"/>
          <w:sz w:val="22"/>
          <w:szCs w:val="22"/>
        </w:rPr>
        <w:t>emphasises:</w:t>
      </w:r>
      <w:proofErr w:type="gramEnd"/>
      <w:r w:rsidRPr="00C55732">
        <w:rPr>
          <w:rFonts w:ascii="Arial" w:hAnsi="Arial" w:cs="Arial"/>
          <w:sz w:val="22"/>
          <w:szCs w:val="22"/>
        </w:rPr>
        <w:t xml:space="preserve"> tackling the </w:t>
      </w:r>
      <w:r w:rsidRPr="00C55732">
        <w:rPr>
          <w:rFonts w:ascii="Arial" w:hAnsi="Arial" w:cs="Arial"/>
          <w:b/>
          <w:bCs/>
          <w:sz w:val="22"/>
          <w:szCs w:val="22"/>
        </w:rPr>
        <w:t>ideological causes</w:t>
      </w:r>
      <w:r w:rsidRPr="00C55732">
        <w:rPr>
          <w:rFonts w:ascii="Arial" w:hAnsi="Arial" w:cs="Arial"/>
          <w:sz w:val="22"/>
          <w:szCs w:val="22"/>
        </w:rPr>
        <w:t xml:space="preserve"> of terrorism, </w:t>
      </w:r>
      <w:r w:rsidRPr="00C55732">
        <w:rPr>
          <w:rFonts w:ascii="Arial" w:hAnsi="Arial" w:cs="Arial"/>
          <w:b/>
          <w:bCs/>
          <w:sz w:val="22"/>
          <w:szCs w:val="22"/>
        </w:rPr>
        <w:t>early intervention</w:t>
      </w:r>
      <w:r w:rsidRPr="00C55732">
        <w:rPr>
          <w:rFonts w:ascii="Arial" w:hAnsi="Arial" w:cs="Arial"/>
          <w:sz w:val="22"/>
          <w:szCs w:val="22"/>
        </w:rPr>
        <w:t xml:space="preserve">, and robust risk assessment and training; it also introduces the </w:t>
      </w:r>
      <w:r w:rsidRPr="00C55732">
        <w:rPr>
          <w:rFonts w:ascii="Arial" w:hAnsi="Arial" w:cs="Arial"/>
          <w:b/>
          <w:bCs/>
          <w:sz w:val="22"/>
          <w:szCs w:val="22"/>
        </w:rPr>
        <w:t>Security Threat Check (STC)</w:t>
      </w:r>
      <w:r w:rsidRPr="00C55732">
        <w:rPr>
          <w:rFonts w:ascii="Arial" w:hAnsi="Arial" w:cs="Arial"/>
          <w:sz w:val="22"/>
          <w:szCs w:val="22"/>
        </w:rPr>
        <w:t xml:space="preserve"> for proportionate decisions. </w:t>
      </w:r>
    </w:p>
    <w:p w14:paraId="3B9EA897" w14:textId="04E72E54" w:rsidR="00CA21A3" w:rsidRPr="00C55732" w:rsidRDefault="00CA21A3" w:rsidP="0099215C">
      <w:pPr>
        <w:numPr>
          <w:ilvl w:val="0"/>
          <w:numId w:val="3"/>
        </w:numPr>
        <w:spacing w:after="160"/>
        <w:rPr>
          <w:rFonts w:ascii="Arial" w:hAnsi="Arial" w:cs="Arial"/>
          <w:sz w:val="22"/>
          <w:szCs w:val="22"/>
        </w:rPr>
      </w:pPr>
      <w:r w:rsidRPr="00C55732">
        <w:rPr>
          <w:rFonts w:ascii="Arial" w:hAnsi="Arial" w:cs="Arial"/>
          <w:b/>
          <w:bCs/>
          <w:sz w:val="22"/>
          <w:szCs w:val="22"/>
        </w:rPr>
        <w:t>Charity Commission expectations:</w:t>
      </w:r>
      <w:r w:rsidRPr="00C55732">
        <w:rPr>
          <w:rFonts w:ascii="Arial" w:hAnsi="Arial" w:cs="Arial"/>
          <w:sz w:val="22"/>
          <w:szCs w:val="22"/>
        </w:rPr>
        <w:t xml:space="preserve"> Trustees must identify and manage risks (including </w:t>
      </w:r>
      <w:r w:rsidRPr="00C55732">
        <w:rPr>
          <w:rFonts w:ascii="Arial" w:hAnsi="Arial" w:cs="Arial"/>
          <w:b/>
          <w:bCs/>
          <w:sz w:val="22"/>
          <w:szCs w:val="22"/>
        </w:rPr>
        <w:t>extremism and radicalisation</w:t>
      </w:r>
      <w:r w:rsidRPr="00C55732">
        <w:rPr>
          <w:rFonts w:ascii="Arial" w:hAnsi="Arial" w:cs="Arial"/>
          <w:sz w:val="22"/>
          <w:szCs w:val="22"/>
        </w:rPr>
        <w:t xml:space="preserve">), have appropriate policies, training, clear referral routes, and report/handle incidents promptly. </w:t>
      </w:r>
    </w:p>
    <w:p w14:paraId="0B55B499" w14:textId="77777777" w:rsidR="00CA21A3" w:rsidRPr="00C55732" w:rsidRDefault="00CA21A3" w:rsidP="0099215C">
      <w:pPr>
        <w:spacing w:after="160"/>
        <w:rPr>
          <w:rFonts w:ascii="Arial" w:hAnsi="Arial" w:cs="Arial"/>
          <w:b/>
          <w:bCs/>
          <w:sz w:val="22"/>
          <w:szCs w:val="22"/>
        </w:rPr>
      </w:pPr>
    </w:p>
    <w:p w14:paraId="50B66B51" w14:textId="33E8F6ED" w:rsidR="00CA21A3" w:rsidRPr="00C9510E" w:rsidRDefault="00CA21A3" w:rsidP="0099215C">
      <w:pPr>
        <w:spacing w:after="160"/>
        <w:rPr>
          <w:rFonts w:ascii="Arial" w:hAnsi="Arial" w:cs="Arial"/>
          <w:b/>
          <w:bCs/>
        </w:rPr>
      </w:pPr>
      <w:r w:rsidRPr="00C9510E">
        <w:rPr>
          <w:rFonts w:ascii="Arial" w:hAnsi="Arial" w:cs="Arial"/>
          <w:b/>
          <w:bCs/>
        </w:rPr>
        <w:t>4. Definitions (plain language)</w:t>
      </w:r>
    </w:p>
    <w:p w14:paraId="013FE0B1" w14:textId="71FE0488" w:rsidR="00CA21A3" w:rsidRPr="00C55732" w:rsidRDefault="00CA21A3" w:rsidP="0099215C">
      <w:pPr>
        <w:numPr>
          <w:ilvl w:val="0"/>
          <w:numId w:val="4"/>
        </w:numPr>
        <w:spacing w:after="160"/>
        <w:rPr>
          <w:rFonts w:ascii="Arial" w:hAnsi="Arial" w:cs="Arial"/>
          <w:sz w:val="22"/>
          <w:szCs w:val="22"/>
        </w:rPr>
      </w:pPr>
      <w:r w:rsidRPr="00C55732">
        <w:rPr>
          <w:rFonts w:ascii="Arial" w:hAnsi="Arial" w:cs="Arial"/>
          <w:b/>
          <w:bCs/>
          <w:sz w:val="22"/>
          <w:szCs w:val="22"/>
        </w:rPr>
        <w:t>Extremism / terrorism:</w:t>
      </w:r>
      <w:r w:rsidRPr="00C55732">
        <w:rPr>
          <w:rFonts w:ascii="Arial" w:hAnsi="Arial" w:cs="Arial"/>
          <w:sz w:val="22"/>
          <w:szCs w:val="22"/>
        </w:rPr>
        <w:t xml:space="preserve"> As used in Prevent guidance; Prevent aims to stop people becoming terrorists or supporting terrorism and now explicitly </w:t>
      </w:r>
      <w:r w:rsidRPr="00C55732">
        <w:rPr>
          <w:rFonts w:ascii="Arial" w:hAnsi="Arial" w:cs="Arial"/>
          <w:b/>
          <w:bCs/>
          <w:sz w:val="22"/>
          <w:szCs w:val="22"/>
        </w:rPr>
        <w:t>tackles ideological causes</w:t>
      </w:r>
      <w:r w:rsidRPr="00C55732">
        <w:rPr>
          <w:rFonts w:ascii="Arial" w:hAnsi="Arial" w:cs="Arial"/>
          <w:sz w:val="22"/>
          <w:szCs w:val="22"/>
        </w:rPr>
        <w:t xml:space="preserve">, intervenes early, and supports disengagement/rehabilitation. </w:t>
      </w:r>
    </w:p>
    <w:p w14:paraId="0A9B86C0" w14:textId="3900C307" w:rsidR="00CA21A3" w:rsidRPr="00C55732" w:rsidRDefault="00CA21A3" w:rsidP="0099215C">
      <w:pPr>
        <w:numPr>
          <w:ilvl w:val="0"/>
          <w:numId w:val="4"/>
        </w:numPr>
        <w:spacing w:after="160"/>
        <w:rPr>
          <w:rFonts w:ascii="Arial" w:hAnsi="Arial" w:cs="Arial"/>
          <w:sz w:val="22"/>
          <w:szCs w:val="22"/>
        </w:rPr>
      </w:pPr>
      <w:r w:rsidRPr="00C55732">
        <w:rPr>
          <w:rFonts w:ascii="Arial" w:hAnsi="Arial" w:cs="Arial"/>
          <w:b/>
          <w:bCs/>
          <w:sz w:val="22"/>
          <w:szCs w:val="22"/>
        </w:rPr>
        <w:t>Radicalisation:</w:t>
      </w:r>
      <w:r w:rsidRPr="00C55732">
        <w:rPr>
          <w:rFonts w:ascii="Arial" w:hAnsi="Arial" w:cs="Arial"/>
          <w:sz w:val="22"/>
          <w:szCs w:val="22"/>
        </w:rPr>
        <w:t xml:space="preserve"> Process by which a person comes to support extremist ideologies or terrorism; may occur online or offline and is assessed within safeguarding frameworks (e.g., </w:t>
      </w:r>
      <w:r w:rsidRPr="00C55732">
        <w:rPr>
          <w:rFonts w:ascii="Arial" w:hAnsi="Arial" w:cs="Arial"/>
          <w:b/>
          <w:bCs/>
          <w:sz w:val="22"/>
          <w:szCs w:val="22"/>
        </w:rPr>
        <w:t>Channel</w:t>
      </w:r>
      <w:r w:rsidRPr="00C55732">
        <w:rPr>
          <w:rFonts w:ascii="Arial" w:hAnsi="Arial" w:cs="Arial"/>
          <w:sz w:val="22"/>
          <w:szCs w:val="22"/>
        </w:rPr>
        <w:t xml:space="preserve">). </w:t>
      </w:r>
    </w:p>
    <w:p w14:paraId="0B8D19D1" w14:textId="38F5E37E" w:rsidR="00CA21A3" w:rsidRPr="00C55732" w:rsidRDefault="00CA21A3" w:rsidP="0099215C">
      <w:pPr>
        <w:numPr>
          <w:ilvl w:val="0"/>
          <w:numId w:val="4"/>
        </w:numPr>
        <w:spacing w:after="160"/>
        <w:rPr>
          <w:rFonts w:ascii="Arial" w:hAnsi="Arial" w:cs="Arial"/>
          <w:sz w:val="22"/>
          <w:szCs w:val="22"/>
        </w:rPr>
      </w:pPr>
      <w:r w:rsidRPr="00C55732">
        <w:rPr>
          <w:rFonts w:ascii="Arial" w:hAnsi="Arial" w:cs="Arial"/>
          <w:b/>
          <w:bCs/>
          <w:sz w:val="22"/>
          <w:szCs w:val="22"/>
        </w:rPr>
        <w:t>Channel:</w:t>
      </w:r>
      <w:r w:rsidRPr="00C55732">
        <w:rPr>
          <w:rFonts w:ascii="Arial" w:hAnsi="Arial" w:cs="Arial"/>
          <w:sz w:val="22"/>
          <w:szCs w:val="22"/>
        </w:rPr>
        <w:t xml:space="preserve"> A voluntary, </w:t>
      </w:r>
      <w:r w:rsidRPr="00C55732">
        <w:rPr>
          <w:rFonts w:ascii="Arial" w:hAnsi="Arial" w:cs="Arial"/>
          <w:b/>
          <w:bCs/>
          <w:sz w:val="22"/>
          <w:szCs w:val="22"/>
        </w:rPr>
        <w:t>multi</w:t>
      </w:r>
      <w:r w:rsidRPr="00C55732">
        <w:rPr>
          <w:rFonts w:ascii="Arial" w:hAnsi="Arial" w:cs="Arial"/>
          <w:b/>
          <w:bCs/>
          <w:sz w:val="22"/>
          <w:szCs w:val="22"/>
        </w:rPr>
        <w:noBreakHyphen/>
        <w:t>agency</w:t>
      </w:r>
      <w:r w:rsidRPr="00C55732">
        <w:rPr>
          <w:rFonts w:ascii="Arial" w:hAnsi="Arial" w:cs="Arial"/>
          <w:sz w:val="22"/>
          <w:szCs w:val="22"/>
        </w:rPr>
        <w:t xml:space="preserve"> programme led by local authorities/police to support people susceptible to radicalisation; governed by </w:t>
      </w:r>
      <w:r w:rsidRPr="00C55732">
        <w:rPr>
          <w:rFonts w:ascii="Arial" w:hAnsi="Arial" w:cs="Arial"/>
          <w:b/>
          <w:bCs/>
          <w:sz w:val="22"/>
          <w:szCs w:val="22"/>
        </w:rPr>
        <w:t>CTSA 2015 ss.36–41</w:t>
      </w:r>
      <w:r w:rsidRPr="00C55732">
        <w:rPr>
          <w:rFonts w:ascii="Arial" w:hAnsi="Arial" w:cs="Arial"/>
          <w:sz w:val="22"/>
          <w:szCs w:val="22"/>
        </w:rPr>
        <w:t xml:space="preserve"> and Channel Duty Guidance (2023). </w:t>
      </w:r>
    </w:p>
    <w:p w14:paraId="21B6EA0B" w14:textId="77777777" w:rsidR="00DC78CA" w:rsidRPr="00C55732" w:rsidRDefault="00DC78CA" w:rsidP="0099215C">
      <w:pPr>
        <w:spacing w:after="160"/>
        <w:rPr>
          <w:rFonts w:ascii="Arial" w:hAnsi="Arial" w:cs="Arial"/>
          <w:b/>
          <w:bCs/>
          <w:sz w:val="22"/>
          <w:szCs w:val="22"/>
        </w:rPr>
      </w:pPr>
    </w:p>
    <w:p w14:paraId="02970657" w14:textId="77777777" w:rsidR="0016147F" w:rsidRDefault="0016147F" w:rsidP="0099215C">
      <w:pPr>
        <w:spacing w:after="160"/>
        <w:rPr>
          <w:rFonts w:ascii="Arial" w:hAnsi="Arial" w:cs="Arial"/>
          <w:b/>
          <w:bCs/>
        </w:rPr>
      </w:pPr>
    </w:p>
    <w:p w14:paraId="45B60A9B" w14:textId="77777777" w:rsidR="0016147F" w:rsidRDefault="0016147F" w:rsidP="0099215C">
      <w:pPr>
        <w:spacing w:after="160"/>
        <w:rPr>
          <w:rFonts w:ascii="Arial" w:hAnsi="Arial" w:cs="Arial"/>
          <w:b/>
          <w:bCs/>
        </w:rPr>
      </w:pPr>
    </w:p>
    <w:p w14:paraId="6C108378" w14:textId="77777777" w:rsidR="0016147F" w:rsidRDefault="0016147F" w:rsidP="0099215C">
      <w:pPr>
        <w:spacing w:after="160"/>
        <w:rPr>
          <w:rFonts w:ascii="Arial" w:hAnsi="Arial" w:cs="Arial"/>
          <w:b/>
          <w:bCs/>
        </w:rPr>
      </w:pPr>
    </w:p>
    <w:p w14:paraId="3F243065" w14:textId="73C1C787" w:rsidR="00CA21A3" w:rsidRPr="00C9510E" w:rsidRDefault="00CA21A3" w:rsidP="0099215C">
      <w:pPr>
        <w:spacing w:after="160"/>
        <w:rPr>
          <w:rFonts w:ascii="Arial" w:hAnsi="Arial" w:cs="Arial"/>
          <w:b/>
          <w:bCs/>
        </w:rPr>
      </w:pPr>
      <w:r w:rsidRPr="00C9510E">
        <w:rPr>
          <w:rFonts w:ascii="Arial" w:hAnsi="Arial" w:cs="Arial"/>
          <w:b/>
          <w:bCs/>
        </w:rPr>
        <w:t>5. Principles</w:t>
      </w:r>
    </w:p>
    <w:p w14:paraId="6A615D21" w14:textId="6413C12A" w:rsidR="00CA21A3" w:rsidRPr="00C55732" w:rsidRDefault="00CA21A3" w:rsidP="0099215C">
      <w:pPr>
        <w:numPr>
          <w:ilvl w:val="0"/>
          <w:numId w:val="5"/>
        </w:numPr>
        <w:spacing w:after="160"/>
        <w:rPr>
          <w:rFonts w:ascii="Arial" w:hAnsi="Arial" w:cs="Arial"/>
          <w:sz w:val="22"/>
          <w:szCs w:val="22"/>
        </w:rPr>
      </w:pPr>
      <w:r w:rsidRPr="00C55732">
        <w:rPr>
          <w:rFonts w:ascii="Arial" w:hAnsi="Arial" w:cs="Arial"/>
          <w:b/>
          <w:bCs/>
          <w:sz w:val="22"/>
          <w:szCs w:val="22"/>
        </w:rPr>
        <w:t>Proportionate, risk</w:t>
      </w:r>
      <w:r w:rsidRPr="00C55732">
        <w:rPr>
          <w:rFonts w:ascii="Arial" w:hAnsi="Arial" w:cs="Arial"/>
          <w:b/>
          <w:bCs/>
          <w:sz w:val="22"/>
          <w:szCs w:val="22"/>
        </w:rPr>
        <w:noBreakHyphen/>
        <w:t>based approach:</w:t>
      </w:r>
      <w:r w:rsidRPr="00C55732">
        <w:rPr>
          <w:rFonts w:ascii="Arial" w:hAnsi="Arial" w:cs="Arial"/>
          <w:sz w:val="22"/>
          <w:szCs w:val="22"/>
        </w:rPr>
        <w:t xml:space="preserve"> NMWN will assess local and organisational risks and apply </w:t>
      </w:r>
      <w:r w:rsidRPr="00C55732">
        <w:rPr>
          <w:rFonts w:ascii="Arial" w:hAnsi="Arial" w:cs="Arial"/>
          <w:b/>
          <w:bCs/>
          <w:sz w:val="22"/>
          <w:szCs w:val="22"/>
        </w:rPr>
        <w:t>due regard</w:t>
      </w:r>
      <w:r w:rsidRPr="00C55732">
        <w:rPr>
          <w:rFonts w:ascii="Arial" w:hAnsi="Arial" w:cs="Arial"/>
          <w:sz w:val="22"/>
          <w:szCs w:val="22"/>
        </w:rPr>
        <w:t xml:space="preserve"> proportionately to our functions. </w:t>
      </w:r>
    </w:p>
    <w:p w14:paraId="343EB99E" w14:textId="64E65068" w:rsidR="00CA21A3" w:rsidRPr="00C55732" w:rsidRDefault="00CA21A3" w:rsidP="0099215C">
      <w:pPr>
        <w:numPr>
          <w:ilvl w:val="0"/>
          <w:numId w:val="5"/>
        </w:numPr>
        <w:spacing w:after="160"/>
        <w:rPr>
          <w:rFonts w:ascii="Arial" w:hAnsi="Arial" w:cs="Arial"/>
          <w:sz w:val="22"/>
          <w:szCs w:val="22"/>
        </w:rPr>
      </w:pPr>
      <w:r w:rsidRPr="00C55732">
        <w:rPr>
          <w:rFonts w:ascii="Arial" w:hAnsi="Arial" w:cs="Arial"/>
          <w:b/>
          <w:bCs/>
          <w:sz w:val="22"/>
          <w:szCs w:val="22"/>
        </w:rPr>
        <w:t>Safeguarding first:</w:t>
      </w:r>
      <w:r w:rsidRPr="00C55732">
        <w:rPr>
          <w:rFonts w:ascii="Arial" w:hAnsi="Arial" w:cs="Arial"/>
          <w:sz w:val="22"/>
          <w:szCs w:val="22"/>
        </w:rPr>
        <w:t xml:space="preserve"> Prevent is part of safeguarding; concerns are handled via DSL pathways with respect for rights and equality, consistent with Charity Commission safeguarding duties. </w:t>
      </w:r>
    </w:p>
    <w:p w14:paraId="6563BB30" w14:textId="72A7920D" w:rsidR="00CA21A3" w:rsidRPr="00C55732" w:rsidRDefault="00CA21A3" w:rsidP="0099215C">
      <w:pPr>
        <w:numPr>
          <w:ilvl w:val="0"/>
          <w:numId w:val="5"/>
        </w:numPr>
        <w:spacing w:after="160"/>
        <w:rPr>
          <w:rFonts w:ascii="Arial" w:hAnsi="Arial" w:cs="Arial"/>
          <w:sz w:val="22"/>
          <w:szCs w:val="22"/>
        </w:rPr>
      </w:pPr>
      <w:r w:rsidRPr="00C55732">
        <w:rPr>
          <w:rFonts w:ascii="Arial" w:hAnsi="Arial" w:cs="Arial"/>
          <w:b/>
          <w:bCs/>
          <w:sz w:val="22"/>
          <w:szCs w:val="22"/>
        </w:rPr>
        <w:t>Non</w:t>
      </w:r>
      <w:r w:rsidRPr="00C55732">
        <w:rPr>
          <w:rFonts w:ascii="Arial" w:hAnsi="Arial" w:cs="Arial"/>
          <w:b/>
          <w:bCs/>
          <w:sz w:val="22"/>
          <w:szCs w:val="22"/>
        </w:rPr>
        <w:noBreakHyphen/>
        <w:t>stigmatising practice:</w:t>
      </w:r>
      <w:r w:rsidRPr="00C55732">
        <w:rPr>
          <w:rFonts w:ascii="Arial" w:hAnsi="Arial" w:cs="Arial"/>
          <w:sz w:val="22"/>
          <w:szCs w:val="22"/>
        </w:rPr>
        <w:t xml:space="preserve"> Concerns must be </w:t>
      </w:r>
      <w:r w:rsidRPr="00C55732">
        <w:rPr>
          <w:rFonts w:ascii="Arial" w:hAnsi="Arial" w:cs="Arial"/>
          <w:b/>
          <w:bCs/>
          <w:sz w:val="22"/>
          <w:szCs w:val="22"/>
        </w:rPr>
        <w:t>evidence</w:t>
      </w:r>
      <w:r w:rsidRPr="00C55732">
        <w:rPr>
          <w:rFonts w:ascii="Arial" w:hAnsi="Arial" w:cs="Arial"/>
          <w:b/>
          <w:bCs/>
          <w:sz w:val="22"/>
          <w:szCs w:val="22"/>
        </w:rPr>
        <w:noBreakHyphen/>
        <w:t>based</w:t>
      </w:r>
      <w:r w:rsidRPr="00C55732">
        <w:rPr>
          <w:rFonts w:ascii="Arial" w:hAnsi="Arial" w:cs="Arial"/>
          <w:sz w:val="22"/>
          <w:szCs w:val="22"/>
        </w:rPr>
        <w:t xml:space="preserve"> (observed behaviour, disclosures), never stereotyped—consistent with Prevent training guidance. </w:t>
      </w:r>
    </w:p>
    <w:p w14:paraId="3E1103A5" w14:textId="219AE89F" w:rsidR="00CA21A3" w:rsidRPr="00C55732" w:rsidRDefault="00CA21A3" w:rsidP="0099215C">
      <w:pPr>
        <w:numPr>
          <w:ilvl w:val="0"/>
          <w:numId w:val="5"/>
        </w:numPr>
        <w:spacing w:after="160"/>
        <w:rPr>
          <w:rFonts w:ascii="Arial" w:hAnsi="Arial" w:cs="Arial"/>
          <w:sz w:val="22"/>
          <w:szCs w:val="22"/>
        </w:rPr>
      </w:pPr>
      <w:r w:rsidRPr="00C55732">
        <w:rPr>
          <w:rFonts w:ascii="Arial" w:hAnsi="Arial" w:cs="Arial"/>
          <w:b/>
          <w:bCs/>
          <w:sz w:val="22"/>
          <w:szCs w:val="22"/>
        </w:rPr>
        <w:t>Partnership &amp; consent:</w:t>
      </w:r>
      <w:r w:rsidRPr="00C55732">
        <w:rPr>
          <w:rFonts w:ascii="Arial" w:hAnsi="Arial" w:cs="Arial"/>
          <w:sz w:val="22"/>
          <w:szCs w:val="22"/>
        </w:rPr>
        <w:t xml:space="preserve"> We work with local </w:t>
      </w:r>
      <w:r w:rsidRPr="00C55732">
        <w:rPr>
          <w:rFonts w:ascii="Arial" w:hAnsi="Arial" w:cs="Arial"/>
          <w:b/>
          <w:bCs/>
          <w:sz w:val="22"/>
          <w:szCs w:val="22"/>
        </w:rPr>
        <w:t>Prevent/Channel</w:t>
      </w:r>
      <w:r w:rsidRPr="00C55732">
        <w:rPr>
          <w:rFonts w:ascii="Arial" w:hAnsi="Arial" w:cs="Arial"/>
          <w:sz w:val="22"/>
          <w:szCs w:val="22"/>
        </w:rPr>
        <w:t xml:space="preserve"> partners; Channel support is consensual wherever possible and focused on early help. </w:t>
      </w:r>
    </w:p>
    <w:p w14:paraId="2DC5974D" w14:textId="4EDAE4D1" w:rsidR="00CA21A3" w:rsidRPr="00C55732" w:rsidRDefault="00CA21A3" w:rsidP="0099215C">
      <w:pPr>
        <w:spacing w:after="160"/>
        <w:rPr>
          <w:rFonts w:ascii="Arial" w:hAnsi="Arial" w:cs="Arial"/>
          <w:sz w:val="22"/>
          <w:szCs w:val="22"/>
        </w:rPr>
      </w:pPr>
    </w:p>
    <w:p w14:paraId="08D1C056" w14:textId="77777777" w:rsidR="00CA21A3" w:rsidRPr="00383E2B" w:rsidRDefault="00CA21A3" w:rsidP="0099215C">
      <w:pPr>
        <w:spacing w:after="160"/>
        <w:rPr>
          <w:rFonts w:ascii="Arial" w:hAnsi="Arial" w:cs="Arial"/>
          <w:b/>
          <w:bCs/>
        </w:rPr>
      </w:pPr>
      <w:r w:rsidRPr="00383E2B">
        <w:rPr>
          <w:rFonts w:ascii="Arial" w:hAnsi="Arial" w:cs="Arial"/>
          <w:b/>
          <w:bCs/>
        </w:rPr>
        <w:t>6. Trustees</w:t>
      </w:r>
    </w:p>
    <w:p w14:paraId="71CC5CC9" w14:textId="3E890396" w:rsidR="00CA21A3" w:rsidRPr="00C55732" w:rsidRDefault="00CA21A3" w:rsidP="0099215C">
      <w:pPr>
        <w:numPr>
          <w:ilvl w:val="0"/>
          <w:numId w:val="6"/>
        </w:numPr>
        <w:spacing w:after="160"/>
        <w:rPr>
          <w:rFonts w:ascii="Arial" w:hAnsi="Arial" w:cs="Arial"/>
          <w:sz w:val="22"/>
          <w:szCs w:val="22"/>
        </w:rPr>
      </w:pPr>
      <w:r w:rsidRPr="00C55732">
        <w:rPr>
          <w:rFonts w:ascii="Arial" w:hAnsi="Arial" w:cs="Arial"/>
          <w:sz w:val="22"/>
          <w:szCs w:val="22"/>
        </w:rPr>
        <w:t xml:space="preserve">Ensure Prevent is embedded within safeguarding governance (policy, risk register, training, reporting, oversight). </w:t>
      </w:r>
    </w:p>
    <w:p w14:paraId="4810780A" w14:textId="295B6D48" w:rsidR="00CA21A3" w:rsidRPr="00C55732" w:rsidRDefault="00CA21A3" w:rsidP="0099215C">
      <w:pPr>
        <w:numPr>
          <w:ilvl w:val="0"/>
          <w:numId w:val="6"/>
        </w:numPr>
        <w:spacing w:after="160"/>
        <w:rPr>
          <w:rFonts w:ascii="Arial" w:hAnsi="Arial" w:cs="Arial"/>
          <w:sz w:val="22"/>
          <w:szCs w:val="22"/>
        </w:rPr>
      </w:pPr>
      <w:r w:rsidRPr="00C55732">
        <w:rPr>
          <w:rFonts w:ascii="Arial" w:hAnsi="Arial" w:cs="Arial"/>
          <w:sz w:val="22"/>
          <w:szCs w:val="22"/>
        </w:rPr>
        <w:t xml:space="preserve">Review Prevent risks and this policy </w:t>
      </w:r>
      <w:r w:rsidRPr="00C55732">
        <w:rPr>
          <w:rFonts w:ascii="Arial" w:hAnsi="Arial" w:cs="Arial"/>
          <w:b/>
          <w:bCs/>
          <w:sz w:val="22"/>
          <w:szCs w:val="22"/>
        </w:rPr>
        <w:t>annually</w:t>
      </w:r>
      <w:r w:rsidRPr="00C55732">
        <w:rPr>
          <w:rFonts w:ascii="Arial" w:hAnsi="Arial" w:cs="Arial"/>
          <w:sz w:val="22"/>
          <w:szCs w:val="22"/>
        </w:rPr>
        <w:t xml:space="preserve"> or after guidance updates. </w:t>
      </w:r>
    </w:p>
    <w:p w14:paraId="3D6B54C5" w14:textId="77777777" w:rsidR="00CA21A3" w:rsidRPr="00C55732" w:rsidRDefault="00CA21A3" w:rsidP="0099215C">
      <w:pPr>
        <w:spacing w:after="160"/>
        <w:rPr>
          <w:rFonts w:ascii="Arial" w:hAnsi="Arial" w:cs="Arial"/>
          <w:b/>
          <w:bCs/>
          <w:sz w:val="22"/>
          <w:szCs w:val="22"/>
        </w:rPr>
      </w:pPr>
    </w:p>
    <w:p w14:paraId="3AD9FC90" w14:textId="337C2A30" w:rsidR="00CA21A3" w:rsidRPr="00C55732" w:rsidRDefault="00CA21A3" w:rsidP="0099215C">
      <w:pPr>
        <w:spacing w:after="160"/>
        <w:rPr>
          <w:rFonts w:ascii="Arial" w:hAnsi="Arial" w:cs="Arial"/>
          <w:b/>
          <w:bCs/>
          <w:sz w:val="22"/>
          <w:szCs w:val="22"/>
        </w:rPr>
      </w:pPr>
      <w:r w:rsidRPr="00C55732">
        <w:rPr>
          <w:rFonts w:ascii="Arial" w:hAnsi="Arial" w:cs="Arial"/>
          <w:b/>
          <w:bCs/>
          <w:sz w:val="22"/>
          <w:szCs w:val="22"/>
        </w:rPr>
        <w:t>7. Senior Leadership / DSL (Prevent Lead)</w:t>
      </w:r>
    </w:p>
    <w:p w14:paraId="57BAED7D" w14:textId="599FE188" w:rsidR="00CA21A3" w:rsidRPr="00C55732" w:rsidRDefault="00CA21A3" w:rsidP="0099215C">
      <w:pPr>
        <w:numPr>
          <w:ilvl w:val="0"/>
          <w:numId w:val="7"/>
        </w:numPr>
        <w:spacing w:after="160"/>
        <w:rPr>
          <w:rFonts w:ascii="Arial" w:hAnsi="Arial" w:cs="Arial"/>
          <w:sz w:val="22"/>
          <w:szCs w:val="22"/>
        </w:rPr>
      </w:pPr>
      <w:r w:rsidRPr="00C55732">
        <w:rPr>
          <w:rFonts w:ascii="Arial" w:hAnsi="Arial" w:cs="Arial"/>
          <w:sz w:val="22"/>
          <w:szCs w:val="22"/>
        </w:rPr>
        <w:t xml:space="preserve">Maintain a </w:t>
      </w:r>
      <w:r w:rsidRPr="00C55732">
        <w:rPr>
          <w:rFonts w:ascii="Arial" w:hAnsi="Arial" w:cs="Arial"/>
          <w:b/>
          <w:bCs/>
          <w:sz w:val="22"/>
          <w:szCs w:val="22"/>
        </w:rPr>
        <w:t>Prevent risk assessment &amp; action plan</w:t>
      </w:r>
      <w:r w:rsidRPr="00C55732">
        <w:rPr>
          <w:rFonts w:ascii="Arial" w:hAnsi="Arial" w:cs="Arial"/>
          <w:sz w:val="22"/>
          <w:szCs w:val="22"/>
        </w:rPr>
        <w:t xml:space="preserve"> (including online activity, outreach/events, speaker management, venue security, staff/volunteer support). </w:t>
      </w:r>
    </w:p>
    <w:p w14:paraId="3935B1B2" w14:textId="659C01AF" w:rsidR="00CA21A3" w:rsidRPr="00C55732" w:rsidRDefault="00CA21A3" w:rsidP="0099215C">
      <w:pPr>
        <w:numPr>
          <w:ilvl w:val="0"/>
          <w:numId w:val="7"/>
        </w:numPr>
        <w:spacing w:after="160"/>
        <w:rPr>
          <w:rFonts w:ascii="Arial" w:hAnsi="Arial" w:cs="Arial"/>
          <w:sz w:val="22"/>
          <w:szCs w:val="22"/>
        </w:rPr>
      </w:pPr>
      <w:r w:rsidRPr="00C55732">
        <w:rPr>
          <w:rFonts w:ascii="Arial" w:hAnsi="Arial" w:cs="Arial"/>
          <w:sz w:val="22"/>
          <w:szCs w:val="22"/>
        </w:rPr>
        <w:t xml:space="preserve">Keep </w:t>
      </w:r>
      <w:r w:rsidRPr="00C55732">
        <w:rPr>
          <w:rFonts w:ascii="Arial" w:hAnsi="Arial" w:cs="Arial"/>
          <w:b/>
          <w:bCs/>
          <w:sz w:val="22"/>
          <w:szCs w:val="22"/>
        </w:rPr>
        <w:t>local contact</w:t>
      </w:r>
      <w:r w:rsidRPr="00C55732">
        <w:rPr>
          <w:rFonts w:ascii="Arial" w:hAnsi="Arial" w:cs="Arial"/>
          <w:sz w:val="22"/>
          <w:szCs w:val="22"/>
        </w:rPr>
        <w:t xml:space="preserve"> details for Prevent/Channel and safeguarding partners up to date; ensure </w:t>
      </w:r>
      <w:r w:rsidRPr="00C55732">
        <w:rPr>
          <w:rFonts w:ascii="Arial" w:hAnsi="Arial" w:cs="Arial"/>
          <w:b/>
          <w:bCs/>
          <w:sz w:val="22"/>
          <w:szCs w:val="22"/>
        </w:rPr>
        <w:t>information</w:t>
      </w:r>
      <w:r w:rsidRPr="00C55732">
        <w:rPr>
          <w:rFonts w:ascii="Arial" w:hAnsi="Arial" w:cs="Arial"/>
          <w:b/>
          <w:bCs/>
          <w:sz w:val="22"/>
          <w:szCs w:val="22"/>
        </w:rPr>
        <w:noBreakHyphen/>
        <w:t>sharing</w:t>
      </w:r>
      <w:r w:rsidRPr="00C55732">
        <w:rPr>
          <w:rFonts w:ascii="Arial" w:hAnsi="Arial" w:cs="Arial"/>
          <w:sz w:val="22"/>
          <w:szCs w:val="22"/>
        </w:rPr>
        <w:t xml:space="preserve"> complies with law and guidance. </w:t>
      </w:r>
    </w:p>
    <w:p w14:paraId="5BEED8F9" w14:textId="553BB948" w:rsidR="00CA21A3" w:rsidRPr="00C55732" w:rsidRDefault="00CA21A3" w:rsidP="0099215C">
      <w:pPr>
        <w:numPr>
          <w:ilvl w:val="0"/>
          <w:numId w:val="7"/>
        </w:numPr>
        <w:spacing w:after="160"/>
        <w:rPr>
          <w:rFonts w:ascii="Arial" w:hAnsi="Arial" w:cs="Arial"/>
          <w:sz w:val="22"/>
          <w:szCs w:val="22"/>
        </w:rPr>
      </w:pPr>
      <w:r w:rsidRPr="00C55732">
        <w:rPr>
          <w:rFonts w:ascii="Arial" w:hAnsi="Arial" w:cs="Arial"/>
          <w:sz w:val="22"/>
          <w:szCs w:val="22"/>
        </w:rPr>
        <w:t xml:space="preserve">Ensure </w:t>
      </w:r>
      <w:r w:rsidRPr="00C55732">
        <w:rPr>
          <w:rFonts w:ascii="Arial" w:hAnsi="Arial" w:cs="Arial"/>
          <w:b/>
          <w:bCs/>
          <w:sz w:val="22"/>
          <w:szCs w:val="22"/>
        </w:rPr>
        <w:t>training</w:t>
      </w:r>
      <w:r w:rsidRPr="00C55732">
        <w:rPr>
          <w:rFonts w:ascii="Arial" w:hAnsi="Arial" w:cs="Arial"/>
          <w:sz w:val="22"/>
          <w:szCs w:val="22"/>
        </w:rPr>
        <w:t xml:space="preserve"> (awareness; referral; Channel/PMAP for DSLs) is completed and refreshed.</w:t>
      </w:r>
    </w:p>
    <w:p w14:paraId="0026B84B" w14:textId="77777777" w:rsidR="00CA21A3" w:rsidRPr="00C55732" w:rsidRDefault="00CA21A3" w:rsidP="0099215C">
      <w:pPr>
        <w:spacing w:after="160"/>
        <w:rPr>
          <w:rFonts w:ascii="Arial" w:hAnsi="Arial" w:cs="Arial"/>
          <w:b/>
          <w:bCs/>
          <w:sz w:val="22"/>
          <w:szCs w:val="22"/>
        </w:rPr>
      </w:pPr>
    </w:p>
    <w:p w14:paraId="7506A417" w14:textId="6F3FDDA3" w:rsidR="00CA21A3" w:rsidRPr="00C55732" w:rsidRDefault="00CA21A3" w:rsidP="0099215C">
      <w:pPr>
        <w:spacing w:after="160"/>
        <w:rPr>
          <w:rFonts w:ascii="Arial" w:hAnsi="Arial" w:cs="Arial"/>
          <w:b/>
          <w:bCs/>
          <w:sz w:val="22"/>
          <w:szCs w:val="22"/>
        </w:rPr>
      </w:pPr>
      <w:r w:rsidRPr="00C55732">
        <w:rPr>
          <w:rFonts w:ascii="Arial" w:hAnsi="Arial" w:cs="Arial"/>
          <w:b/>
          <w:bCs/>
          <w:sz w:val="22"/>
          <w:szCs w:val="22"/>
        </w:rPr>
        <w:t>8. Staff &amp; Volunteers</w:t>
      </w:r>
    </w:p>
    <w:p w14:paraId="1AD20C2E" w14:textId="6878D54F" w:rsidR="00CA21A3" w:rsidRPr="00C55732" w:rsidRDefault="00CA21A3" w:rsidP="0099215C">
      <w:pPr>
        <w:numPr>
          <w:ilvl w:val="0"/>
          <w:numId w:val="8"/>
        </w:numPr>
        <w:spacing w:after="160"/>
        <w:rPr>
          <w:rFonts w:ascii="Arial" w:hAnsi="Arial" w:cs="Arial"/>
          <w:sz w:val="22"/>
          <w:szCs w:val="22"/>
        </w:rPr>
      </w:pPr>
      <w:r w:rsidRPr="00C55732">
        <w:rPr>
          <w:rFonts w:ascii="Arial" w:hAnsi="Arial" w:cs="Arial"/>
          <w:sz w:val="22"/>
          <w:szCs w:val="22"/>
        </w:rPr>
        <w:t xml:space="preserve">Complete Prevent </w:t>
      </w:r>
      <w:r w:rsidRPr="00C55732">
        <w:rPr>
          <w:rFonts w:ascii="Arial" w:hAnsi="Arial" w:cs="Arial"/>
          <w:b/>
          <w:bCs/>
          <w:sz w:val="22"/>
          <w:szCs w:val="22"/>
        </w:rPr>
        <w:t>awareness training</w:t>
      </w:r>
      <w:r w:rsidRPr="00C55732">
        <w:rPr>
          <w:rFonts w:ascii="Arial" w:hAnsi="Arial" w:cs="Arial"/>
          <w:sz w:val="22"/>
          <w:szCs w:val="22"/>
        </w:rPr>
        <w:t xml:space="preserve"> and follow “</w:t>
      </w:r>
      <w:r w:rsidRPr="00C55732">
        <w:rPr>
          <w:rFonts w:ascii="Arial" w:hAnsi="Arial" w:cs="Arial"/>
          <w:b/>
          <w:bCs/>
          <w:sz w:val="22"/>
          <w:szCs w:val="22"/>
        </w:rPr>
        <w:t>Notice–Check–Share</w:t>
      </w:r>
      <w:r w:rsidRPr="00C55732">
        <w:rPr>
          <w:rFonts w:ascii="Arial" w:hAnsi="Arial" w:cs="Arial"/>
          <w:sz w:val="22"/>
          <w:szCs w:val="22"/>
        </w:rPr>
        <w:t xml:space="preserve">” practice: notice concerning signs, check internally with DSL, share via agreed referral routes as appropriate. </w:t>
      </w:r>
    </w:p>
    <w:p w14:paraId="072A0413" w14:textId="77777777" w:rsidR="00CA21A3" w:rsidRPr="00C55732" w:rsidRDefault="00CA21A3" w:rsidP="0099215C">
      <w:pPr>
        <w:numPr>
          <w:ilvl w:val="0"/>
          <w:numId w:val="8"/>
        </w:numPr>
        <w:spacing w:after="160"/>
        <w:rPr>
          <w:rFonts w:ascii="Arial" w:hAnsi="Arial" w:cs="Arial"/>
          <w:sz w:val="22"/>
          <w:szCs w:val="22"/>
        </w:rPr>
      </w:pPr>
      <w:r w:rsidRPr="00C55732">
        <w:rPr>
          <w:rFonts w:ascii="Arial" w:hAnsi="Arial" w:cs="Arial"/>
          <w:sz w:val="22"/>
          <w:szCs w:val="22"/>
        </w:rPr>
        <w:t>Promote respectful, rights</w:t>
      </w:r>
      <w:r w:rsidRPr="00C55732">
        <w:rPr>
          <w:rFonts w:ascii="Arial" w:hAnsi="Arial" w:cs="Arial"/>
          <w:sz w:val="22"/>
          <w:szCs w:val="22"/>
        </w:rPr>
        <w:noBreakHyphen/>
        <w:t>based engagement and challenge harmful narratives in line with NMWN values. (Best practice consistent with Prevent/Charity Commission.)</w:t>
      </w:r>
    </w:p>
    <w:p w14:paraId="71EB0BB1" w14:textId="7E9C1D26" w:rsidR="00CA21A3" w:rsidRPr="00C55732" w:rsidRDefault="00CA21A3" w:rsidP="0099215C">
      <w:pPr>
        <w:spacing w:after="160"/>
        <w:rPr>
          <w:rFonts w:ascii="Arial" w:hAnsi="Arial" w:cs="Arial"/>
          <w:sz w:val="22"/>
          <w:szCs w:val="22"/>
        </w:rPr>
      </w:pPr>
    </w:p>
    <w:p w14:paraId="612C6761" w14:textId="4AE51820" w:rsidR="00CA21A3" w:rsidRDefault="00CA21A3" w:rsidP="0099215C">
      <w:pPr>
        <w:spacing w:after="160"/>
        <w:rPr>
          <w:rFonts w:ascii="Arial" w:hAnsi="Arial" w:cs="Arial"/>
          <w:b/>
          <w:bCs/>
          <w:sz w:val="22"/>
          <w:szCs w:val="22"/>
        </w:rPr>
      </w:pPr>
    </w:p>
    <w:p w14:paraId="688EE509" w14:textId="77777777" w:rsidR="0016147F" w:rsidRDefault="0016147F" w:rsidP="0099215C">
      <w:pPr>
        <w:spacing w:after="160"/>
        <w:rPr>
          <w:rFonts w:ascii="Arial" w:hAnsi="Arial" w:cs="Arial"/>
          <w:b/>
          <w:bCs/>
          <w:sz w:val="22"/>
          <w:szCs w:val="22"/>
        </w:rPr>
      </w:pPr>
    </w:p>
    <w:p w14:paraId="029A57F6" w14:textId="77777777" w:rsidR="0016147F" w:rsidRDefault="0016147F" w:rsidP="0099215C">
      <w:pPr>
        <w:spacing w:after="160"/>
        <w:rPr>
          <w:rFonts w:ascii="Arial" w:hAnsi="Arial" w:cs="Arial"/>
          <w:b/>
          <w:bCs/>
          <w:sz w:val="22"/>
          <w:szCs w:val="22"/>
        </w:rPr>
      </w:pPr>
    </w:p>
    <w:p w14:paraId="3D84D451" w14:textId="77777777" w:rsidR="0016147F" w:rsidRDefault="0016147F" w:rsidP="0099215C">
      <w:pPr>
        <w:spacing w:after="160"/>
        <w:rPr>
          <w:rFonts w:ascii="Arial" w:hAnsi="Arial" w:cs="Arial"/>
          <w:b/>
          <w:bCs/>
          <w:sz w:val="22"/>
          <w:szCs w:val="22"/>
        </w:rPr>
      </w:pPr>
    </w:p>
    <w:p w14:paraId="31E0A6E1" w14:textId="77777777" w:rsidR="0016147F" w:rsidRDefault="0016147F" w:rsidP="0099215C">
      <w:pPr>
        <w:spacing w:after="160"/>
        <w:rPr>
          <w:rFonts w:ascii="Arial" w:hAnsi="Arial" w:cs="Arial"/>
          <w:b/>
          <w:bCs/>
          <w:sz w:val="22"/>
          <w:szCs w:val="22"/>
        </w:rPr>
      </w:pPr>
    </w:p>
    <w:p w14:paraId="3E06362B" w14:textId="77777777" w:rsidR="0016147F" w:rsidRPr="00C55732" w:rsidRDefault="0016147F" w:rsidP="0099215C">
      <w:pPr>
        <w:spacing w:after="160"/>
        <w:rPr>
          <w:rFonts w:ascii="Arial" w:hAnsi="Arial" w:cs="Arial"/>
          <w:b/>
          <w:bCs/>
          <w:sz w:val="22"/>
          <w:szCs w:val="22"/>
        </w:rPr>
      </w:pPr>
    </w:p>
    <w:p w14:paraId="7F86EB98" w14:textId="77777777" w:rsidR="00CA21A3" w:rsidRPr="0016147F" w:rsidRDefault="00CA21A3" w:rsidP="0099215C">
      <w:pPr>
        <w:spacing w:after="160"/>
        <w:rPr>
          <w:rFonts w:ascii="Arial" w:hAnsi="Arial" w:cs="Arial"/>
          <w:b/>
          <w:bCs/>
        </w:rPr>
      </w:pPr>
      <w:r w:rsidRPr="0016147F">
        <w:rPr>
          <w:rFonts w:ascii="Arial" w:hAnsi="Arial" w:cs="Arial"/>
          <w:b/>
          <w:bCs/>
        </w:rPr>
        <w:t>9. Organisational risk assessment</w:t>
      </w:r>
    </w:p>
    <w:p w14:paraId="760933FB" w14:textId="77777777" w:rsidR="00CA21A3" w:rsidRPr="00C55732" w:rsidRDefault="00CA21A3" w:rsidP="0099215C">
      <w:pPr>
        <w:spacing w:after="160"/>
        <w:rPr>
          <w:rFonts w:ascii="Arial" w:hAnsi="Arial" w:cs="Arial"/>
          <w:sz w:val="22"/>
          <w:szCs w:val="22"/>
        </w:rPr>
      </w:pPr>
      <w:r w:rsidRPr="00C55732">
        <w:rPr>
          <w:rFonts w:ascii="Arial" w:hAnsi="Arial" w:cs="Arial"/>
          <w:sz w:val="22"/>
          <w:szCs w:val="22"/>
        </w:rPr>
        <w:t>NMWN will maintain and review a Prevent risk assessment considering:</w:t>
      </w:r>
    </w:p>
    <w:p w14:paraId="5A1C177F" w14:textId="06113887" w:rsidR="00CA21A3" w:rsidRPr="00C55732" w:rsidRDefault="00CA21A3" w:rsidP="0099215C">
      <w:pPr>
        <w:numPr>
          <w:ilvl w:val="0"/>
          <w:numId w:val="9"/>
        </w:numPr>
        <w:spacing w:after="160"/>
        <w:rPr>
          <w:rFonts w:ascii="Arial" w:hAnsi="Arial" w:cs="Arial"/>
          <w:sz w:val="22"/>
          <w:szCs w:val="22"/>
        </w:rPr>
      </w:pPr>
      <w:r w:rsidRPr="00C55732">
        <w:rPr>
          <w:rFonts w:ascii="Arial" w:hAnsi="Arial" w:cs="Arial"/>
          <w:b/>
          <w:bCs/>
          <w:sz w:val="22"/>
          <w:szCs w:val="22"/>
        </w:rPr>
        <w:t>Local context</w:t>
      </w:r>
      <w:r w:rsidRPr="00C55732">
        <w:rPr>
          <w:rFonts w:ascii="Arial" w:hAnsi="Arial" w:cs="Arial"/>
          <w:sz w:val="22"/>
          <w:szCs w:val="22"/>
        </w:rPr>
        <w:t xml:space="preserve"> (e.g., community tensions, online harms) and service profile (outreach, advocacy, counselling).</w:t>
      </w:r>
    </w:p>
    <w:p w14:paraId="02BE51F6" w14:textId="5DB23D9A" w:rsidR="00CA21A3" w:rsidRPr="00C55732" w:rsidRDefault="00CA21A3" w:rsidP="0099215C">
      <w:pPr>
        <w:numPr>
          <w:ilvl w:val="0"/>
          <w:numId w:val="9"/>
        </w:numPr>
        <w:spacing w:after="160"/>
        <w:rPr>
          <w:rFonts w:ascii="Arial" w:hAnsi="Arial" w:cs="Arial"/>
          <w:sz w:val="22"/>
          <w:szCs w:val="22"/>
        </w:rPr>
      </w:pPr>
      <w:r w:rsidRPr="00C55732">
        <w:rPr>
          <w:rFonts w:ascii="Arial" w:hAnsi="Arial" w:cs="Arial"/>
          <w:b/>
          <w:bCs/>
          <w:sz w:val="22"/>
          <w:szCs w:val="22"/>
        </w:rPr>
        <w:t>Online risks</w:t>
      </w:r>
      <w:r w:rsidRPr="00C55732">
        <w:rPr>
          <w:rFonts w:ascii="Arial" w:hAnsi="Arial" w:cs="Arial"/>
          <w:sz w:val="22"/>
          <w:szCs w:val="22"/>
        </w:rPr>
        <w:t xml:space="preserve"> (social media, livestreamed events, content policies). </w:t>
      </w:r>
    </w:p>
    <w:p w14:paraId="5A5AF048" w14:textId="19F21D61" w:rsidR="00CA21A3" w:rsidRPr="00C55732" w:rsidRDefault="00CA21A3" w:rsidP="0099215C">
      <w:pPr>
        <w:numPr>
          <w:ilvl w:val="0"/>
          <w:numId w:val="9"/>
        </w:numPr>
        <w:spacing w:after="160"/>
        <w:rPr>
          <w:rFonts w:ascii="Arial" w:hAnsi="Arial" w:cs="Arial"/>
          <w:sz w:val="22"/>
          <w:szCs w:val="22"/>
        </w:rPr>
      </w:pPr>
      <w:r w:rsidRPr="00C55732">
        <w:rPr>
          <w:rFonts w:ascii="Arial" w:hAnsi="Arial" w:cs="Arial"/>
          <w:b/>
          <w:bCs/>
          <w:sz w:val="22"/>
          <w:szCs w:val="22"/>
        </w:rPr>
        <w:t>External speakers/events:</w:t>
      </w:r>
      <w:r w:rsidRPr="00C55732">
        <w:rPr>
          <w:rFonts w:ascii="Arial" w:hAnsi="Arial" w:cs="Arial"/>
          <w:sz w:val="22"/>
          <w:szCs w:val="22"/>
        </w:rPr>
        <w:t xml:space="preserve"> proportionate checks and controls without undermining freedom of speech; ensure venue and moderation arrangements manage risk. (Reflects sector guidance practice.) </w:t>
      </w:r>
    </w:p>
    <w:p w14:paraId="44E63C12" w14:textId="77777777" w:rsidR="00CA21A3" w:rsidRPr="00C55732" w:rsidRDefault="00CA21A3" w:rsidP="004F51CA">
      <w:pPr>
        <w:rPr>
          <w:rFonts w:ascii="Arial" w:hAnsi="Arial" w:cs="Arial"/>
          <w:b/>
          <w:bCs/>
          <w:sz w:val="22"/>
          <w:szCs w:val="22"/>
        </w:rPr>
      </w:pPr>
    </w:p>
    <w:p w14:paraId="6DC0D08C" w14:textId="785DE34F" w:rsidR="00CA21A3" w:rsidRPr="0016147F" w:rsidRDefault="00CA21A3" w:rsidP="0099215C">
      <w:pPr>
        <w:spacing w:after="160"/>
        <w:rPr>
          <w:rFonts w:ascii="Arial" w:hAnsi="Arial" w:cs="Arial"/>
          <w:b/>
          <w:bCs/>
        </w:rPr>
      </w:pPr>
      <w:r w:rsidRPr="0016147F">
        <w:rPr>
          <w:rFonts w:ascii="Arial" w:hAnsi="Arial" w:cs="Arial"/>
          <w:b/>
          <w:bCs/>
        </w:rPr>
        <w:t>10. Security Threat Check (STC)</w:t>
      </w:r>
    </w:p>
    <w:p w14:paraId="190D8C43" w14:textId="4F9B4772" w:rsidR="00CA21A3" w:rsidRPr="00C55732" w:rsidRDefault="00CA21A3" w:rsidP="0099215C">
      <w:pPr>
        <w:spacing w:after="160"/>
        <w:rPr>
          <w:rFonts w:ascii="Arial" w:hAnsi="Arial" w:cs="Arial"/>
          <w:sz w:val="22"/>
          <w:szCs w:val="22"/>
        </w:rPr>
      </w:pPr>
      <w:r w:rsidRPr="00C55732">
        <w:rPr>
          <w:rFonts w:ascii="Arial" w:hAnsi="Arial" w:cs="Arial"/>
          <w:sz w:val="22"/>
          <w:szCs w:val="22"/>
        </w:rPr>
        <w:t>For significant decisions (e.g., event approval, partnership work) the DSL/lead should consider STC</w:t>
      </w:r>
      <w:r w:rsidRPr="00C55732">
        <w:rPr>
          <w:rFonts w:ascii="Arial" w:hAnsi="Arial" w:cs="Arial"/>
          <w:sz w:val="22"/>
          <w:szCs w:val="22"/>
        </w:rPr>
        <w:noBreakHyphen/>
        <w:t>style questions to ensure proportionate, threat</w:t>
      </w:r>
      <w:r w:rsidRPr="00C55732">
        <w:rPr>
          <w:rFonts w:ascii="Arial" w:hAnsi="Arial" w:cs="Arial"/>
          <w:sz w:val="22"/>
          <w:szCs w:val="22"/>
        </w:rPr>
        <w:noBreakHyphen/>
        <w:t xml:space="preserve">informed decisions as described in the refreshed guidance. </w:t>
      </w:r>
    </w:p>
    <w:p w14:paraId="37CAB47E" w14:textId="1310B024" w:rsidR="00CA21A3" w:rsidRPr="00C55732" w:rsidRDefault="00CA21A3" w:rsidP="004F51CA">
      <w:pPr>
        <w:rPr>
          <w:rFonts w:ascii="Arial" w:hAnsi="Arial" w:cs="Arial"/>
          <w:sz w:val="22"/>
          <w:szCs w:val="22"/>
        </w:rPr>
      </w:pPr>
    </w:p>
    <w:p w14:paraId="6950E00C" w14:textId="081AAA20" w:rsidR="00CA21A3" w:rsidRPr="003A7AFC" w:rsidRDefault="00CA21A3" w:rsidP="0099215C">
      <w:pPr>
        <w:spacing w:after="160"/>
        <w:rPr>
          <w:rFonts w:ascii="Arial" w:hAnsi="Arial" w:cs="Arial"/>
          <w:b/>
          <w:bCs/>
        </w:rPr>
      </w:pPr>
      <w:r w:rsidRPr="003A7AFC">
        <w:rPr>
          <w:rFonts w:ascii="Arial" w:hAnsi="Arial" w:cs="Arial"/>
          <w:b/>
          <w:bCs/>
        </w:rPr>
        <w:t>11. Training</w:t>
      </w:r>
    </w:p>
    <w:p w14:paraId="5EB00CF1" w14:textId="7C8F411B" w:rsidR="00CA21A3" w:rsidRPr="00C55732" w:rsidRDefault="00CA21A3" w:rsidP="0099215C">
      <w:pPr>
        <w:numPr>
          <w:ilvl w:val="0"/>
          <w:numId w:val="10"/>
        </w:numPr>
        <w:spacing w:after="160"/>
        <w:rPr>
          <w:rFonts w:ascii="Arial" w:hAnsi="Arial" w:cs="Arial"/>
          <w:sz w:val="22"/>
          <w:szCs w:val="22"/>
        </w:rPr>
      </w:pPr>
      <w:r w:rsidRPr="00C55732">
        <w:rPr>
          <w:rFonts w:ascii="Arial" w:hAnsi="Arial" w:cs="Arial"/>
          <w:b/>
          <w:bCs/>
          <w:sz w:val="22"/>
          <w:szCs w:val="22"/>
        </w:rPr>
        <w:t>Course 1 – Awareness</w:t>
      </w:r>
      <w:r w:rsidRPr="00C55732">
        <w:rPr>
          <w:rFonts w:ascii="Arial" w:hAnsi="Arial" w:cs="Arial"/>
          <w:sz w:val="22"/>
          <w:szCs w:val="22"/>
        </w:rPr>
        <w:t xml:space="preserve"> for all staff/volunteers; </w:t>
      </w:r>
      <w:r w:rsidRPr="00C55732">
        <w:rPr>
          <w:rFonts w:ascii="Arial" w:hAnsi="Arial" w:cs="Arial"/>
          <w:b/>
          <w:bCs/>
          <w:sz w:val="22"/>
          <w:szCs w:val="22"/>
        </w:rPr>
        <w:t>Course 2 – Referrals</w:t>
      </w:r>
      <w:r w:rsidRPr="00C55732">
        <w:rPr>
          <w:rFonts w:ascii="Arial" w:hAnsi="Arial" w:cs="Arial"/>
          <w:sz w:val="22"/>
          <w:szCs w:val="22"/>
        </w:rPr>
        <w:t xml:space="preserve"> for DSLs/managers; </w:t>
      </w:r>
      <w:r w:rsidRPr="00C55732">
        <w:rPr>
          <w:rFonts w:ascii="Arial" w:hAnsi="Arial" w:cs="Arial"/>
          <w:b/>
          <w:bCs/>
          <w:sz w:val="22"/>
          <w:szCs w:val="22"/>
        </w:rPr>
        <w:t>Course 3 – Channel/PMAP</w:t>
      </w:r>
      <w:r w:rsidRPr="00C55732">
        <w:rPr>
          <w:rFonts w:ascii="Arial" w:hAnsi="Arial" w:cs="Arial"/>
          <w:sz w:val="22"/>
          <w:szCs w:val="22"/>
        </w:rPr>
        <w:t xml:space="preserve"> for DSL/lead roles. We may also use </w:t>
      </w:r>
      <w:r w:rsidRPr="00C55732">
        <w:rPr>
          <w:rFonts w:ascii="Arial" w:hAnsi="Arial" w:cs="Arial"/>
          <w:b/>
          <w:bCs/>
          <w:sz w:val="22"/>
          <w:szCs w:val="22"/>
        </w:rPr>
        <w:t>in</w:t>
      </w:r>
      <w:r w:rsidRPr="00C55732">
        <w:rPr>
          <w:rFonts w:ascii="Arial" w:hAnsi="Arial" w:cs="Arial"/>
          <w:b/>
          <w:bCs/>
          <w:sz w:val="22"/>
          <w:szCs w:val="22"/>
        </w:rPr>
        <w:noBreakHyphen/>
        <w:t>person</w:t>
      </w:r>
      <w:r w:rsidRPr="00C55732">
        <w:rPr>
          <w:rFonts w:ascii="Arial" w:hAnsi="Arial" w:cs="Arial"/>
          <w:sz w:val="22"/>
          <w:szCs w:val="22"/>
        </w:rPr>
        <w:t xml:space="preserve"> Home Office training where available. </w:t>
      </w:r>
    </w:p>
    <w:p w14:paraId="22ED5890" w14:textId="1EC1AAA9" w:rsidR="00CA21A3" w:rsidRPr="00C55732" w:rsidRDefault="00CA21A3" w:rsidP="0099215C">
      <w:pPr>
        <w:numPr>
          <w:ilvl w:val="0"/>
          <w:numId w:val="10"/>
        </w:numPr>
        <w:spacing w:after="160"/>
        <w:rPr>
          <w:rFonts w:ascii="Arial" w:hAnsi="Arial" w:cs="Arial"/>
          <w:sz w:val="22"/>
          <w:szCs w:val="22"/>
        </w:rPr>
      </w:pPr>
      <w:r w:rsidRPr="00C55732">
        <w:rPr>
          <w:rFonts w:ascii="Arial" w:hAnsi="Arial" w:cs="Arial"/>
          <w:sz w:val="22"/>
          <w:szCs w:val="22"/>
        </w:rPr>
        <w:t xml:space="preserve">Refreshers annually (or sooner if role changes or guidance updates). </w:t>
      </w:r>
    </w:p>
    <w:p w14:paraId="5D5264D8" w14:textId="77994DB5" w:rsidR="00CA21A3" w:rsidRPr="00C55732" w:rsidRDefault="00CA21A3" w:rsidP="004F51CA">
      <w:pPr>
        <w:rPr>
          <w:rFonts w:ascii="Arial" w:hAnsi="Arial" w:cs="Arial"/>
          <w:b/>
          <w:bCs/>
          <w:sz w:val="22"/>
          <w:szCs w:val="22"/>
        </w:rPr>
      </w:pPr>
    </w:p>
    <w:p w14:paraId="3CF39A8B" w14:textId="77777777" w:rsidR="00CA21A3" w:rsidRPr="003A7AFC" w:rsidRDefault="00CA21A3" w:rsidP="0099215C">
      <w:pPr>
        <w:spacing w:after="160"/>
        <w:rPr>
          <w:rFonts w:ascii="Arial" w:hAnsi="Arial" w:cs="Arial"/>
          <w:b/>
          <w:bCs/>
        </w:rPr>
      </w:pPr>
      <w:r w:rsidRPr="003A7AFC">
        <w:rPr>
          <w:rFonts w:ascii="Arial" w:hAnsi="Arial" w:cs="Arial"/>
          <w:b/>
          <w:bCs/>
        </w:rPr>
        <w:t>12. Recognising concerns</w:t>
      </w:r>
    </w:p>
    <w:p w14:paraId="687CABCC" w14:textId="6E917344" w:rsidR="00CA21A3" w:rsidRPr="00C55732" w:rsidRDefault="00CA21A3" w:rsidP="0099215C">
      <w:pPr>
        <w:spacing w:after="160"/>
        <w:rPr>
          <w:rFonts w:ascii="Arial" w:hAnsi="Arial" w:cs="Arial"/>
          <w:sz w:val="22"/>
          <w:szCs w:val="22"/>
        </w:rPr>
      </w:pPr>
      <w:r w:rsidRPr="00C55732">
        <w:rPr>
          <w:rFonts w:ascii="Arial" w:hAnsi="Arial" w:cs="Arial"/>
          <w:sz w:val="22"/>
          <w:szCs w:val="22"/>
        </w:rPr>
        <w:t xml:space="preserve">Indicators may include sudden endorsement of violence, accessing extremist content, isolation, hateful rhetoric, or changes in appearance tied to extremist symbols; </w:t>
      </w:r>
      <w:r w:rsidRPr="00C55732">
        <w:rPr>
          <w:rFonts w:ascii="Arial" w:hAnsi="Arial" w:cs="Arial"/>
          <w:b/>
          <w:bCs/>
          <w:sz w:val="22"/>
          <w:szCs w:val="22"/>
        </w:rPr>
        <w:t>do not</w:t>
      </w:r>
      <w:r w:rsidRPr="00C55732">
        <w:rPr>
          <w:rFonts w:ascii="Arial" w:hAnsi="Arial" w:cs="Arial"/>
          <w:sz w:val="22"/>
          <w:szCs w:val="22"/>
        </w:rPr>
        <w:t xml:space="preserve"> rely on stereotype—base actions on behaviours/disclosures and context. </w:t>
      </w:r>
    </w:p>
    <w:p w14:paraId="0C96996B" w14:textId="77777777" w:rsidR="004F51CA" w:rsidRDefault="004F51CA" w:rsidP="004F51CA">
      <w:pPr>
        <w:rPr>
          <w:rFonts w:ascii="Arial" w:hAnsi="Arial" w:cs="Arial"/>
          <w:b/>
          <w:bCs/>
          <w:sz w:val="22"/>
          <w:szCs w:val="22"/>
        </w:rPr>
      </w:pPr>
    </w:p>
    <w:p w14:paraId="11D7A121" w14:textId="6F9D20E6" w:rsidR="00CA21A3" w:rsidRPr="004F51CA" w:rsidRDefault="00CA21A3" w:rsidP="0099215C">
      <w:pPr>
        <w:spacing w:after="160"/>
        <w:rPr>
          <w:rFonts w:ascii="Arial" w:hAnsi="Arial" w:cs="Arial"/>
          <w:b/>
          <w:bCs/>
        </w:rPr>
      </w:pPr>
      <w:r w:rsidRPr="004F51CA">
        <w:rPr>
          <w:rFonts w:ascii="Arial" w:hAnsi="Arial" w:cs="Arial"/>
          <w:b/>
          <w:bCs/>
        </w:rPr>
        <w:t>13. Internal response (“Notice–Check–Share”)</w:t>
      </w:r>
    </w:p>
    <w:p w14:paraId="184D37AC" w14:textId="77777777" w:rsidR="00CA21A3" w:rsidRPr="00C55732" w:rsidRDefault="00CA21A3" w:rsidP="0099215C">
      <w:pPr>
        <w:numPr>
          <w:ilvl w:val="0"/>
          <w:numId w:val="11"/>
        </w:numPr>
        <w:spacing w:after="160"/>
        <w:rPr>
          <w:rFonts w:ascii="Arial" w:hAnsi="Arial" w:cs="Arial"/>
          <w:sz w:val="22"/>
          <w:szCs w:val="22"/>
        </w:rPr>
      </w:pPr>
      <w:r w:rsidRPr="00C55732">
        <w:rPr>
          <w:rFonts w:ascii="Arial" w:hAnsi="Arial" w:cs="Arial"/>
          <w:b/>
          <w:bCs/>
          <w:sz w:val="22"/>
          <w:szCs w:val="22"/>
        </w:rPr>
        <w:t>Notice:</w:t>
      </w:r>
      <w:r w:rsidRPr="00C55732">
        <w:rPr>
          <w:rFonts w:ascii="Arial" w:hAnsi="Arial" w:cs="Arial"/>
          <w:sz w:val="22"/>
          <w:szCs w:val="22"/>
        </w:rPr>
        <w:t xml:space="preserve"> Record factual observations/disclosures.</w:t>
      </w:r>
    </w:p>
    <w:p w14:paraId="655D7C4D" w14:textId="77777777" w:rsidR="00CA21A3" w:rsidRPr="00C55732" w:rsidRDefault="00CA21A3" w:rsidP="0099215C">
      <w:pPr>
        <w:numPr>
          <w:ilvl w:val="0"/>
          <w:numId w:val="11"/>
        </w:numPr>
        <w:spacing w:after="160"/>
        <w:rPr>
          <w:rFonts w:ascii="Arial" w:hAnsi="Arial" w:cs="Arial"/>
          <w:sz w:val="22"/>
          <w:szCs w:val="22"/>
        </w:rPr>
      </w:pPr>
      <w:r w:rsidRPr="00C55732">
        <w:rPr>
          <w:rFonts w:ascii="Arial" w:hAnsi="Arial" w:cs="Arial"/>
          <w:b/>
          <w:bCs/>
          <w:sz w:val="22"/>
          <w:szCs w:val="22"/>
        </w:rPr>
        <w:t>Check:</w:t>
      </w:r>
      <w:r w:rsidRPr="00C55732">
        <w:rPr>
          <w:rFonts w:ascii="Arial" w:hAnsi="Arial" w:cs="Arial"/>
          <w:sz w:val="22"/>
          <w:szCs w:val="22"/>
        </w:rPr>
        <w:t xml:space="preserve"> Speak to the </w:t>
      </w:r>
      <w:r w:rsidRPr="00C55732">
        <w:rPr>
          <w:rFonts w:ascii="Arial" w:hAnsi="Arial" w:cs="Arial"/>
          <w:b/>
          <w:bCs/>
          <w:sz w:val="22"/>
          <w:szCs w:val="22"/>
        </w:rPr>
        <w:t>DSL/Prevent Lead</w:t>
      </w:r>
      <w:r w:rsidRPr="00C55732">
        <w:rPr>
          <w:rFonts w:ascii="Arial" w:hAnsi="Arial" w:cs="Arial"/>
          <w:sz w:val="22"/>
          <w:szCs w:val="22"/>
        </w:rPr>
        <w:t xml:space="preserve"> promptly; assess risk and immediate safety.</w:t>
      </w:r>
    </w:p>
    <w:p w14:paraId="4E76865D" w14:textId="1E33B0BF" w:rsidR="00CA21A3" w:rsidRPr="00C55732" w:rsidRDefault="00CA21A3" w:rsidP="0099215C">
      <w:pPr>
        <w:numPr>
          <w:ilvl w:val="0"/>
          <w:numId w:val="11"/>
        </w:numPr>
        <w:spacing w:after="160"/>
        <w:rPr>
          <w:rFonts w:ascii="Arial" w:hAnsi="Arial" w:cs="Arial"/>
          <w:sz w:val="22"/>
          <w:szCs w:val="22"/>
        </w:rPr>
      </w:pPr>
      <w:r w:rsidRPr="00C55732">
        <w:rPr>
          <w:rFonts w:ascii="Arial" w:hAnsi="Arial" w:cs="Arial"/>
          <w:b/>
          <w:bCs/>
          <w:sz w:val="22"/>
          <w:szCs w:val="22"/>
        </w:rPr>
        <w:t>Share:</w:t>
      </w:r>
      <w:r w:rsidRPr="00C55732">
        <w:rPr>
          <w:rFonts w:ascii="Arial" w:hAnsi="Arial" w:cs="Arial"/>
          <w:sz w:val="22"/>
          <w:szCs w:val="22"/>
        </w:rPr>
        <w:t xml:space="preserve"> If risk warrants, DSL will make a </w:t>
      </w:r>
      <w:r w:rsidRPr="00C55732">
        <w:rPr>
          <w:rFonts w:ascii="Arial" w:hAnsi="Arial" w:cs="Arial"/>
          <w:b/>
          <w:bCs/>
          <w:sz w:val="22"/>
          <w:szCs w:val="22"/>
        </w:rPr>
        <w:t>Prevent/Channel referral</w:t>
      </w:r>
      <w:r w:rsidRPr="00C55732">
        <w:rPr>
          <w:rFonts w:ascii="Arial" w:hAnsi="Arial" w:cs="Arial"/>
          <w:sz w:val="22"/>
          <w:szCs w:val="22"/>
        </w:rPr>
        <w:t xml:space="preserve"> or alternative safeguarding referral; if immediate danger, call </w:t>
      </w:r>
      <w:r w:rsidRPr="00C55732">
        <w:rPr>
          <w:rFonts w:ascii="Arial" w:hAnsi="Arial" w:cs="Arial"/>
          <w:b/>
          <w:bCs/>
          <w:sz w:val="22"/>
          <w:szCs w:val="22"/>
        </w:rPr>
        <w:t>999</w:t>
      </w:r>
      <w:r w:rsidRPr="00C55732">
        <w:rPr>
          <w:rFonts w:ascii="Arial" w:hAnsi="Arial" w:cs="Arial"/>
          <w:sz w:val="22"/>
          <w:szCs w:val="22"/>
        </w:rPr>
        <w:t xml:space="preserve">. (Process reflects Home Office training and Channel guidance.) </w:t>
      </w:r>
    </w:p>
    <w:p w14:paraId="095287C3" w14:textId="77777777" w:rsidR="004F51CA" w:rsidRDefault="004F51CA" w:rsidP="00A32AA3">
      <w:pPr>
        <w:rPr>
          <w:rFonts w:ascii="Arial" w:hAnsi="Arial" w:cs="Arial"/>
          <w:b/>
          <w:bCs/>
        </w:rPr>
      </w:pPr>
    </w:p>
    <w:p w14:paraId="340D894F" w14:textId="7A0412CF" w:rsidR="00CA21A3" w:rsidRPr="004F51CA" w:rsidRDefault="00CA21A3" w:rsidP="0099215C">
      <w:pPr>
        <w:spacing w:after="160"/>
        <w:rPr>
          <w:rFonts w:ascii="Arial" w:hAnsi="Arial" w:cs="Arial"/>
          <w:b/>
          <w:bCs/>
        </w:rPr>
      </w:pPr>
      <w:r w:rsidRPr="004F51CA">
        <w:rPr>
          <w:rFonts w:ascii="Arial" w:hAnsi="Arial" w:cs="Arial"/>
          <w:b/>
          <w:bCs/>
        </w:rPr>
        <w:t>14. External referrals &amp; partnerships</w:t>
      </w:r>
    </w:p>
    <w:p w14:paraId="06596848" w14:textId="40105944" w:rsidR="00CA21A3" w:rsidRPr="00C55732" w:rsidRDefault="00CA21A3" w:rsidP="0099215C">
      <w:pPr>
        <w:numPr>
          <w:ilvl w:val="0"/>
          <w:numId w:val="12"/>
        </w:numPr>
        <w:spacing w:after="160"/>
        <w:rPr>
          <w:rFonts w:ascii="Arial" w:hAnsi="Arial" w:cs="Arial"/>
          <w:sz w:val="22"/>
          <w:szCs w:val="22"/>
        </w:rPr>
      </w:pPr>
      <w:r w:rsidRPr="00C55732">
        <w:rPr>
          <w:rFonts w:ascii="Arial" w:hAnsi="Arial" w:cs="Arial"/>
          <w:b/>
          <w:bCs/>
          <w:sz w:val="22"/>
          <w:szCs w:val="22"/>
        </w:rPr>
        <w:t>Channel/Prevent referral:</w:t>
      </w:r>
      <w:r w:rsidRPr="00C55732">
        <w:rPr>
          <w:rFonts w:ascii="Arial" w:hAnsi="Arial" w:cs="Arial"/>
          <w:sz w:val="22"/>
          <w:szCs w:val="22"/>
        </w:rPr>
        <w:t xml:space="preserve"> The DSL follows the local referral process (police Prevent team / local authority). Channel is multi</w:t>
      </w:r>
      <w:r w:rsidRPr="00C55732">
        <w:rPr>
          <w:rFonts w:ascii="Arial" w:hAnsi="Arial" w:cs="Arial"/>
          <w:sz w:val="22"/>
          <w:szCs w:val="22"/>
        </w:rPr>
        <w:noBreakHyphen/>
        <w:t>agency and consent</w:t>
      </w:r>
      <w:r w:rsidRPr="00C55732">
        <w:rPr>
          <w:rFonts w:ascii="Arial" w:hAnsi="Arial" w:cs="Arial"/>
          <w:sz w:val="22"/>
          <w:szCs w:val="22"/>
        </w:rPr>
        <w:noBreakHyphen/>
        <w:t xml:space="preserve">based where possible, under </w:t>
      </w:r>
      <w:r w:rsidRPr="00C55732">
        <w:rPr>
          <w:rFonts w:ascii="Arial" w:hAnsi="Arial" w:cs="Arial"/>
          <w:b/>
          <w:bCs/>
          <w:sz w:val="22"/>
          <w:szCs w:val="22"/>
        </w:rPr>
        <w:t>CTSA 2015 ss.36–41</w:t>
      </w:r>
      <w:r w:rsidRPr="00C55732">
        <w:rPr>
          <w:rFonts w:ascii="Arial" w:hAnsi="Arial" w:cs="Arial"/>
          <w:sz w:val="22"/>
          <w:szCs w:val="22"/>
        </w:rPr>
        <w:t xml:space="preserve">. </w:t>
      </w:r>
    </w:p>
    <w:p w14:paraId="2F0237B2" w14:textId="387D5B74" w:rsidR="00CA21A3" w:rsidRPr="00C55732" w:rsidRDefault="00CA21A3" w:rsidP="0099215C">
      <w:pPr>
        <w:numPr>
          <w:ilvl w:val="0"/>
          <w:numId w:val="12"/>
        </w:numPr>
        <w:spacing w:after="160"/>
        <w:rPr>
          <w:rFonts w:ascii="Arial" w:hAnsi="Arial" w:cs="Arial"/>
          <w:sz w:val="22"/>
          <w:szCs w:val="22"/>
        </w:rPr>
      </w:pPr>
      <w:r w:rsidRPr="00C55732">
        <w:rPr>
          <w:rFonts w:ascii="Arial" w:hAnsi="Arial" w:cs="Arial"/>
          <w:b/>
          <w:bCs/>
          <w:sz w:val="22"/>
          <w:szCs w:val="22"/>
        </w:rPr>
        <w:t>Safeguarding adults/children:</w:t>
      </w:r>
      <w:r w:rsidRPr="00C55732">
        <w:rPr>
          <w:rFonts w:ascii="Arial" w:hAnsi="Arial" w:cs="Arial"/>
          <w:sz w:val="22"/>
          <w:szCs w:val="22"/>
        </w:rPr>
        <w:t xml:space="preserve"> Where vulnerability or abuse is present, refer via </w:t>
      </w:r>
      <w:r w:rsidRPr="00C55732">
        <w:rPr>
          <w:rFonts w:ascii="Arial" w:hAnsi="Arial" w:cs="Arial"/>
          <w:b/>
          <w:bCs/>
          <w:sz w:val="22"/>
          <w:szCs w:val="22"/>
        </w:rPr>
        <w:t>Nottingham/Nottinghamshire</w:t>
      </w:r>
      <w:r w:rsidRPr="00C55732">
        <w:rPr>
          <w:rFonts w:ascii="Arial" w:hAnsi="Arial" w:cs="Arial"/>
          <w:sz w:val="22"/>
          <w:szCs w:val="22"/>
        </w:rPr>
        <w:t xml:space="preserve"> multi</w:t>
      </w:r>
      <w:r w:rsidRPr="00C55732">
        <w:rPr>
          <w:rFonts w:ascii="Arial" w:hAnsi="Arial" w:cs="Arial"/>
          <w:sz w:val="22"/>
          <w:szCs w:val="22"/>
        </w:rPr>
        <w:noBreakHyphen/>
        <w:t xml:space="preserve">agency safeguarding procedures alongside or instead of Channel as appropriate. </w:t>
      </w:r>
    </w:p>
    <w:p w14:paraId="031F8195" w14:textId="3C2A4CA1" w:rsidR="00CA21A3" w:rsidRPr="00C55732" w:rsidRDefault="00CA21A3" w:rsidP="0099215C">
      <w:pPr>
        <w:numPr>
          <w:ilvl w:val="0"/>
          <w:numId w:val="12"/>
        </w:numPr>
        <w:spacing w:after="160"/>
        <w:rPr>
          <w:rFonts w:ascii="Arial" w:hAnsi="Arial" w:cs="Arial"/>
          <w:sz w:val="22"/>
          <w:szCs w:val="22"/>
        </w:rPr>
      </w:pPr>
      <w:r w:rsidRPr="00C55732">
        <w:rPr>
          <w:rFonts w:ascii="Arial" w:hAnsi="Arial" w:cs="Arial"/>
          <w:b/>
          <w:bCs/>
          <w:sz w:val="22"/>
          <w:szCs w:val="22"/>
        </w:rPr>
        <w:t>Advice:</w:t>
      </w:r>
      <w:r w:rsidRPr="00C55732">
        <w:rPr>
          <w:rFonts w:ascii="Arial" w:hAnsi="Arial" w:cs="Arial"/>
          <w:sz w:val="22"/>
          <w:szCs w:val="22"/>
        </w:rPr>
        <w:t xml:space="preserve"> Use </w:t>
      </w:r>
      <w:r w:rsidRPr="00C55732">
        <w:rPr>
          <w:rFonts w:ascii="Arial" w:hAnsi="Arial" w:cs="Arial"/>
          <w:b/>
          <w:bCs/>
          <w:sz w:val="22"/>
          <w:szCs w:val="22"/>
        </w:rPr>
        <w:t>ACT Early</w:t>
      </w:r>
      <w:r w:rsidRPr="00C55732">
        <w:rPr>
          <w:rFonts w:ascii="Arial" w:hAnsi="Arial" w:cs="Arial"/>
          <w:sz w:val="22"/>
          <w:szCs w:val="22"/>
        </w:rPr>
        <w:t xml:space="preserve"> and local Prevent webpages for public advice and non</w:t>
      </w:r>
      <w:r w:rsidRPr="00C55732">
        <w:rPr>
          <w:rFonts w:ascii="Arial" w:hAnsi="Arial" w:cs="Arial"/>
          <w:sz w:val="22"/>
          <w:szCs w:val="22"/>
        </w:rPr>
        <w:noBreakHyphen/>
        <w:t xml:space="preserve">urgent support. (Local council Prevent page.) </w:t>
      </w:r>
    </w:p>
    <w:p w14:paraId="13264316" w14:textId="77777777" w:rsidR="00A32AA3" w:rsidRDefault="00A32AA3" w:rsidP="0099215C">
      <w:pPr>
        <w:spacing w:after="160"/>
        <w:rPr>
          <w:rFonts w:ascii="Arial" w:hAnsi="Arial" w:cs="Arial"/>
          <w:b/>
          <w:bCs/>
          <w:sz w:val="22"/>
          <w:szCs w:val="22"/>
        </w:rPr>
      </w:pPr>
    </w:p>
    <w:p w14:paraId="6ABAE367" w14:textId="6B6169D7" w:rsidR="00CA21A3" w:rsidRPr="00A32AA3" w:rsidRDefault="00CA21A3" w:rsidP="0099215C">
      <w:pPr>
        <w:spacing w:after="160"/>
        <w:rPr>
          <w:rFonts w:ascii="Arial" w:hAnsi="Arial" w:cs="Arial"/>
          <w:b/>
          <w:bCs/>
        </w:rPr>
      </w:pPr>
      <w:r w:rsidRPr="00A32AA3">
        <w:rPr>
          <w:rFonts w:ascii="Arial" w:hAnsi="Arial" w:cs="Arial"/>
          <w:b/>
          <w:bCs/>
        </w:rPr>
        <w:t>15. Information sharing &amp; records</w:t>
      </w:r>
    </w:p>
    <w:p w14:paraId="1EB2E20E" w14:textId="3DCA8E03" w:rsidR="00CA21A3" w:rsidRPr="00C55732" w:rsidRDefault="00CA21A3" w:rsidP="0099215C">
      <w:pPr>
        <w:numPr>
          <w:ilvl w:val="0"/>
          <w:numId w:val="13"/>
        </w:numPr>
        <w:spacing w:after="160"/>
        <w:rPr>
          <w:rFonts w:ascii="Arial" w:hAnsi="Arial" w:cs="Arial"/>
          <w:sz w:val="22"/>
          <w:szCs w:val="22"/>
        </w:rPr>
      </w:pPr>
      <w:r w:rsidRPr="00C55732">
        <w:rPr>
          <w:rFonts w:ascii="Arial" w:hAnsi="Arial" w:cs="Arial"/>
          <w:sz w:val="22"/>
          <w:szCs w:val="22"/>
        </w:rPr>
        <w:t xml:space="preserve">Share information lawfully, proportionately and securely with Prevent partners; maintain case notes, decisions and consent status per Channel guidance. </w:t>
      </w:r>
    </w:p>
    <w:p w14:paraId="3226D4C6" w14:textId="268FB6BD" w:rsidR="00CA21A3" w:rsidRDefault="00CA21A3" w:rsidP="0099215C">
      <w:pPr>
        <w:numPr>
          <w:ilvl w:val="0"/>
          <w:numId w:val="13"/>
        </w:numPr>
        <w:spacing w:after="160"/>
        <w:rPr>
          <w:rFonts w:ascii="Arial" w:hAnsi="Arial" w:cs="Arial"/>
          <w:sz w:val="22"/>
          <w:szCs w:val="22"/>
        </w:rPr>
      </w:pPr>
      <w:r w:rsidRPr="00C55732">
        <w:rPr>
          <w:rFonts w:ascii="Arial" w:hAnsi="Arial" w:cs="Arial"/>
          <w:sz w:val="22"/>
          <w:szCs w:val="22"/>
        </w:rPr>
        <w:t xml:space="preserve">Trustees are accountable for handling and reporting safeguarding matters and maintaining a </w:t>
      </w:r>
      <w:r w:rsidRPr="00C55732">
        <w:rPr>
          <w:rFonts w:ascii="Arial" w:hAnsi="Arial" w:cs="Arial"/>
          <w:b/>
          <w:bCs/>
          <w:sz w:val="22"/>
          <w:szCs w:val="22"/>
        </w:rPr>
        <w:t>risk register</w:t>
      </w:r>
      <w:r w:rsidRPr="00C55732">
        <w:rPr>
          <w:rFonts w:ascii="Arial" w:hAnsi="Arial" w:cs="Arial"/>
          <w:sz w:val="22"/>
          <w:szCs w:val="22"/>
        </w:rPr>
        <w:t xml:space="preserve">. </w:t>
      </w:r>
    </w:p>
    <w:p w14:paraId="3D7DDCF1" w14:textId="77777777" w:rsidR="00A32AA3" w:rsidRPr="00A32AA3" w:rsidRDefault="00A32AA3" w:rsidP="004256F4">
      <w:pPr>
        <w:ind w:left="720"/>
        <w:rPr>
          <w:rFonts w:ascii="Arial" w:hAnsi="Arial" w:cs="Arial"/>
          <w:sz w:val="22"/>
          <w:szCs w:val="22"/>
        </w:rPr>
      </w:pPr>
    </w:p>
    <w:p w14:paraId="16BD6C66" w14:textId="77777777" w:rsidR="00CA21A3" w:rsidRPr="00A32AA3" w:rsidRDefault="00CA21A3" w:rsidP="0099215C">
      <w:pPr>
        <w:spacing w:after="160"/>
        <w:rPr>
          <w:rFonts w:ascii="Arial" w:hAnsi="Arial" w:cs="Arial"/>
          <w:b/>
          <w:bCs/>
        </w:rPr>
      </w:pPr>
      <w:r w:rsidRPr="00A32AA3">
        <w:rPr>
          <w:rFonts w:ascii="Arial" w:hAnsi="Arial" w:cs="Arial"/>
          <w:b/>
          <w:bCs/>
        </w:rPr>
        <w:t>16. External speakers &amp; events</w:t>
      </w:r>
    </w:p>
    <w:p w14:paraId="7BF44EEE" w14:textId="39B904BC" w:rsidR="00CA21A3" w:rsidRDefault="00CA21A3" w:rsidP="0099215C">
      <w:pPr>
        <w:numPr>
          <w:ilvl w:val="0"/>
          <w:numId w:val="14"/>
        </w:numPr>
        <w:spacing w:after="160"/>
        <w:rPr>
          <w:rFonts w:ascii="Arial" w:hAnsi="Arial" w:cs="Arial"/>
          <w:sz w:val="22"/>
          <w:szCs w:val="22"/>
        </w:rPr>
      </w:pPr>
      <w:r w:rsidRPr="00C55732">
        <w:rPr>
          <w:rFonts w:ascii="Arial" w:hAnsi="Arial" w:cs="Arial"/>
          <w:sz w:val="22"/>
          <w:szCs w:val="22"/>
        </w:rPr>
        <w:t xml:space="preserve">Use a </w:t>
      </w:r>
      <w:r w:rsidRPr="00C55732">
        <w:rPr>
          <w:rFonts w:ascii="Arial" w:hAnsi="Arial" w:cs="Arial"/>
          <w:b/>
          <w:bCs/>
          <w:sz w:val="22"/>
          <w:szCs w:val="22"/>
        </w:rPr>
        <w:t>risk</w:t>
      </w:r>
      <w:r w:rsidRPr="00C55732">
        <w:rPr>
          <w:rFonts w:ascii="Arial" w:hAnsi="Arial" w:cs="Arial"/>
          <w:b/>
          <w:bCs/>
          <w:sz w:val="22"/>
          <w:szCs w:val="22"/>
        </w:rPr>
        <w:noBreakHyphen/>
        <w:t>based approval</w:t>
      </w:r>
      <w:r w:rsidRPr="00C55732">
        <w:rPr>
          <w:rFonts w:ascii="Arial" w:hAnsi="Arial" w:cs="Arial"/>
          <w:sz w:val="22"/>
          <w:szCs w:val="22"/>
        </w:rPr>
        <w:t xml:space="preserve"> process: topic review, speaker due diligence (open</w:t>
      </w:r>
      <w:r w:rsidRPr="00C55732">
        <w:rPr>
          <w:rFonts w:ascii="Arial" w:hAnsi="Arial" w:cs="Arial"/>
          <w:sz w:val="22"/>
          <w:szCs w:val="22"/>
        </w:rPr>
        <w:noBreakHyphen/>
        <w:t xml:space="preserve">source checks), event moderation, attendee conduct expectations, contingency plans; balance with freedom of expression. (Reflects Prevent guidance expectations for proportionate controls.) </w:t>
      </w:r>
    </w:p>
    <w:p w14:paraId="191AB600" w14:textId="77777777" w:rsidR="00A32AA3" w:rsidRPr="00C55732" w:rsidRDefault="00A32AA3" w:rsidP="004256F4">
      <w:pPr>
        <w:ind w:left="720"/>
        <w:rPr>
          <w:rFonts w:ascii="Arial" w:hAnsi="Arial" w:cs="Arial"/>
          <w:sz w:val="22"/>
          <w:szCs w:val="22"/>
        </w:rPr>
      </w:pPr>
    </w:p>
    <w:p w14:paraId="66850468" w14:textId="77777777" w:rsidR="00CA21A3" w:rsidRPr="00A32AA3" w:rsidRDefault="00CA21A3" w:rsidP="0099215C">
      <w:pPr>
        <w:spacing w:after="160"/>
        <w:rPr>
          <w:rFonts w:ascii="Arial" w:hAnsi="Arial" w:cs="Arial"/>
          <w:b/>
          <w:bCs/>
        </w:rPr>
      </w:pPr>
      <w:r w:rsidRPr="00A32AA3">
        <w:rPr>
          <w:rFonts w:ascii="Arial" w:hAnsi="Arial" w:cs="Arial"/>
          <w:b/>
          <w:bCs/>
        </w:rPr>
        <w:t>17. IT/online safety</w:t>
      </w:r>
    </w:p>
    <w:p w14:paraId="1807050B" w14:textId="09F77352" w:rsidR="00CA21A3" w:rsidRPr="00C55732" w:rsidRDefault="00CA21A3" w:rsidP="0099215C">
      <w:pPr>
        <w:numPr>
          <w:ilvl w:val="0"/>
          <w:numId w:val="15"/>
        </w:numPr>
        <w:spacing w:after="160"/>
        <w:rPr>
          <w:rFonts w:ascii="Arial" w:hAnsi="Arial" w:cs="Arial"/>
          <w:sz w:val="22"/>
          <w:szCs w:val="22"/>
        </w:rPr>
      </w:pPr>
      <w:r w:rsidRPr="00C55732">
        <w:rPr>
          <w:rFonts w:ascii="Arial" w:hAnsi="Arial" w:cs="Arial"/>
          <w:sz w:val="22"/>
          <w:szCs w:val="22"/>
        </w:rPr>
        <w:t>Apply IT Acceptable Use and social</w:t>
      </w:r>
      <w:r w:rsidRPr="00C55732">
        <w:rPr>
          <w:rFonts w:ascii="Arial" w:hAnsi="Arial" w:cs="Arial"/>
          <w:sz w:val="22"/>
          <w:szCs w:val="22"/>
        </w:rPr>
        <w:noBreakHyphen/>
        <w:t xml:space="preserve">media rules; report extremist content encountered in NMWN work via DSL; avoid amplifying harmful material; preserve evidence as needed for referral. (Consistent with Prevent guidance.) </w:t>
      </w:r>
    </w:p>
    <w:p w14:paraId="569722F3" w14:textId="13A6BECD" w:rsidR="00CA21A3" w:rsidRPr="00C55732" w:rsidRDefault="00CA21A3" w:rsidP="004256F4">
      <w:pPr>
        <w:rPr>
          <w:rFonts w:ascii="Arial" w:hAnsi="Arial" w:cs="Arial"/>
          <w:b/>
          <w:bCs/>
          <w:sz w:val="22"/>
          <w:szCs w:val="22"/>
        </w:rPr>
      </w:pPr>
    </w:p>
    <w:p w14:paraId="7F24A023" w14:textId="77777777" w:rsidR="00CA21A3" w:rsidRPr="004256F4" w:rsidRDefault="00CA21A3" w:rsidP="0099215C">
      <w:pPr>
        <w:spacing w:after="160"/>
        <w:rPr>
          <w:rFonts w:ascii="Arial" w:hAnsi="Arial" w:cs="Arial"/>
          <w:b/>
          <w:bCs/>
        </w:rPr>
      </w:pPr>
      <w:r w:rsidRPr="004256F4">
        <w:rPr>
          <w:rFonts w:ascii="Arial" w:hAnsi="Arial" w:cs="Arial"/>
          <w:b/>
          <w:bCs/>
        </w:rPr>
        <w:t>18. NMWN roles</w:t>
      </w:r>
    </w:p>
    <w:p w14:paraId="3B205314" w14:textId="6B4DFD70" w:rsidR="00CA21A3" w:rsidRPr="00C55732" w:rsidRDefault="00CA21A3" w:rsidP="0099215C">
      <w:pPr>
        <w:numPr>
          <w:ilvl w:val="0"/>
          <w:numId w:val="16"/>
        </w:numPr>
        <w:spacing w:after="160"/>
        <w:rPr>
          <w:rFonts w:ascii="Arial" w:hAnsi="Arial" w:cs="Arial"/>
          <w:sz w:val="22"/>
          <w:szCs w:val="22"/>
        </w:rPr>
      </w:pPr>
      <w:r w:rsidRPr="00C55732">
        <w:rPr>
          <w:rFonts w:ascii="Arial" w:hAnsi="Arial" w:cs="Arial"/>
          <w:b/>
          <w:bCs/>
          <w:sz w:val="22"/>
          <w:szCs w:val="22"/>
        </w:rPr>
        <w:t>DSL / Prevent Lead:</w:t>
      </w:r>
      <w:r w:rsidRPr="00C55732">
        <w:rPr>
          <w:rFonts w:ascii="Arial" w:hAnsi="Arial" w:cs="Arial"/>
          <w:sz w:val="22"/>
          <w:szCs w:val="22"/>
        </w:rPr>
        <w:t xml:space="preserve"> Zaynab Asghar Zaynab.Asghar@nmwn.co.uk</w:t>
      </w:r>
    </w:p>
    <w:p w14:paraId="6220038D" w14:textId="167F5A0B" w:rsidR="00CA21A3" w:rsidRPr="00C55732" w:rsidRDefault="00CA21A3" w:rsidP="0099215C">
      <w:pPr>
        <w:numPr>
          <w:ilvl w:val="0"/>
          <w:numId w:val="16"/>
        </w:numPr>
        <w:spacing w:after="160"/>
        <w:rPr>
          <w:rFonts w:ascii="Arial" w:hAnsi="Arial" w:cs="Arial"/>
          <w:sz w:val="22"/>
          <w:szCs w:val="22"/>
        </w:rPr>
      </w:pPr>
      <w:r w:rsidRPr="00C55732">
        <w:rPr>
          <w:rFonts w:ascii="Arial" w:hAnsi="Arial" w:cs="Arial"/>
          <w:b/>
          <w:bCs/>
          <w:sz w:val="22"/>
          <w:szCs w:val="22"/>
        </w:rPr>
        <w:t>Deputy DSL:</w:t>
      </w:r>
      <w:r w:rsidRPr="00C55732">
        <w:rPr>
          <w:rFonts w:ascii="Arial" w:hAnsi="Arial" w:cs="Arial"/>
          <w:sz w:val="22"/>
          <w:szCs w:val="22"/>
        </w:rPr>
        <w:t xml:space="preserve"> Marsha Brown 07790941422</w:t>
      </w:r>
    </w:p>
    <w:p w14:paraId="01351789" w14:textId="1D62436D" w:rsidR="00CA21A3" w:rsidRPr="00C55732" w:rsidRDefault="00CA21A3" w:rsidP="0099215C">
      <w:pPr>
        <w:numPr>
          <w:ilvl w:val="0"/>
          <w:numId w:val="16"/>
        </w:numPr>
        <w:spacing w:after="160"/>
        <w:rPr>
          <w:rFonts w:ascii="Arial" w:hAnsi="Arial" w:cs="Arial"/>
          <w:sz w:val="22"/>
          <w:szCs w:val="22"/>
        </w:rPr>
      </w:pPr>
      <w:r w:rsidRPr="00C55732">
        <w:rPr>
          <w:rFonts w:ascii="Arial" w:hAnsi="Arial" w:cs="Arial"/>
          <w:b/>
          <w:bCs/>
          <w:sz w:val="22"/>
          <w:szCs w:val="22"/>
        </w:rPr>
        <w:t>Data Protection Lead:</w:t>
      </w:r>
      <w:r w:rsidRPr="00C55732">
        <w:rPr>
          <w:rFonts w:ascii="Arial" w:hAnsi="Arial" w:cs="Arial"/>
          <w:sz w:val="22"/>
          <w:szCs w:val="22"/>
        </w:rPr>
        <w:t xml:space="preserve"> Zaynab Asghar</w:t>
      </w:r>
    </w:p>
    <w:p w14:paraId="257428D0" w14:textId="77777777" w:rsidR="004256F4" w:rsidRDefault="004256F4" w:rsidP="004256F4">
      <w:pPr>
        <w:rPr>
          <w:rFonts w:ascii="Arial" w:hAnsi="Arial" w:cs="Arial"/>
          <w:b/>
          <w:bCs/>
          <w:sz w:val="22"/>
          <w:szCs w:val="22"/>
        </w:rPr>
      </w:pPr>
    </w:p>
    <w:p w14:paraId="6CD4980B" w14:textId="279F4DB0" w:rsidR="00CA21A3" w:rsidRPr="004256F4" w:rsidRDefault="00CA21A3" w:rsidP="0099215C">
      <w:pPr>
        <w:spacing w:after="160"/>
        <w:rPr>
          <w:rFonts w:ascii="Arial" w:hAnsi="Arial" w:cs="Arial"/>
          <w:b/>
          <w:bCs/>
        </w:rPr>
      </w:pPr>
      <w:r w:rsidRPr="004256F4">
        <w:rPr>
          <w:rFonts w:ascii="Arial" w:hAnsi="Arial" w:cs="Arial"/>
          <w:b/>
          <w:bCs/>
        </w:rPr>
        <w:t xml:space="preserve">19. External </w:t>
      </w:r>
    </w:p>
    <w:p w14:paraId="32D9BD75" w14:textId="0609708C" w:rsidR="00CA21A3" w:rsidRPr="00C55732" w:rsidRDefault="00CA21A3" w:rsidP="0099215C">
      <w:pPr>
        <w:numPr>
          <w:ilvl w:val="0"/>
          <w:numId w:val="17"/>
        </w:numPr>
        <w:spacing w:after="160"/>
        <w:rPr>
          <w:rFonts w:ascii="Arial" w:hAnsi="Arial" w:cs="Arial"/>
          <w:sz w:val="22"/>
          <w:szCs w:val="22"/>
        </w:rPr>
      </w:pPr>
      <w:r w:rsidRPr="00C55732">
        <w:rPr>
          <w:rFonts w:ascii="Arial" w:hAnsi="Arial" w:cs="Arial"/>
          <w:b/>
          <w:bCs/>
          <w:sz w:val="22"/>
          <w:szCs w:val="22"/>
        </w:rPr>
        <w:t>Prevent (Nottinghamshire County Council) general info</w:t>
      </w:r>
      <w:r w:rsidRPr="00C55732">
        <w:rPr>
          <w:rFonts w:ascii="Arial" w:hAnsi="Arial" w:cs="Arial"/>
          <w:sz w:val="22"/>
          <w:szCs w:val="22"/>
        </w:rPr>
        <w:t xml:space="preserve"> and referral links. </w:t>
      </w:r>
    </w:p>
    <w:p w14:paraId="66460040" w14:textId="332F57AB" w:rsidR="00CA21A3" w:rsidRPr="00C55732" w:rsidRDefault="00CA21A3" w:rsidP="0099215C">
      <w:pPr>
        <w:numPr>
          <w:ilvl w:val="0"/>
          <w:numId w:val="17"/>
        </w:numPr>
        <w:spacing w:after="160"/>
        <w:rPr>
          <w:rFonts w:ascii="Arial" w:hAnsi="Arial" w:cs="Arial"/>
          <w:sz w:val="22"/>
          <w:szCs w:val="22"/>
        </w:rPr>
      </w:pPr>
      <w:r w:rsidRPr="00C55732">
        <w:rPr>
          <w:rFonts w:ascii="Arial" w:hAnsi="Arial" w:cs="Arial"/>
          <w:b/>
          <w:bCs/>
          <w:sz w:val="22"/>
          <w:szCs w:val="22"/>
        </w:rPr>
        <w:t>Channel/PMAP guidance</w:t>
      </w:r>
      <w:r w:rsidRPr="00C55732">
        <w:rPr>
          <w:rFonts w:ascii="Arial" w:hAnsi="Arial" w:cs="Arial"/>
          <w:sz w:val="22"/>
          <w:szCs w:val="22"/>
        </w:rPr>
        <w:t xml:space="preserve"> (for procedure detail). </w:t>
      </w:r>
    </w:p>
    <w:p w14:paraId="268493C8" w14:textId="3A4311EC" w:rsidR="00CA21A3" w:rsidRPr="00C55732" w:rsidRDefault="00CA21A3" w:rsidP="0099215C">
      <w:pPr>
        <w:numPr>
          <w:ilvl w:val="0"/>
          <w:numId w:val="17"/>
        </w:numPr>
        <w:spacing w:after="160"/>
        <w:rPr>
          <w:rFonts w:ascii="Arial" w:hAnsi="Arial" w:cs="Arial"/>
          <w:sz w:val="22"/>
          <w:szCs w:val="22"/>
        </w:rPr>
      </w:pPr>
      <w:r w:rsidRPr="00C55732">
        <w:rPr>
          <w:rFonts w:ascii="Arial" w:hAnsi="Arial" w:cs="Arial"/>
          <w:b/>
          <w:bCs/>
          <w:sz w:val="22"/>
          <w:szCs w:val="22"/>
        </w:rPr>
        <w:t>Safeguarding Adults Board policies</w:t>
      </w:r>
      <w:r w:rsidRPr="00C55732">
        <w:rPr>
          <w:rFonts w:ascii="Arial" w:hAnsi="Arial" w:cs="Arial"/>
          <w:sz w:val="22"/>
          <w:szCs w:val="22"/>
        </w:rPr>
        <w:t xml:space="preserve"> (Nottingham City/Nott’s County). </w:t>
      </w:r>
    </w:p>
    <w:p w14:paraId="47263526" w14:textId="77777777" w:rsidR="00CA21A3" w:rsidRPr="00C55732" w:rsidRDefault="00CA21A3" w:rsidP="0099215C">
      <w:pPr>
        <w:numPr>
          <w:ilvl w:val="0"/>
          <w:numId w:val="17"/>
        </w:numPr>
        <w:spacing w:after="160"/>
        <w:rPr>
          <w:rFonts w:ascii="Arial" w:hAnsi="Arial" w:cs="Arial"/>
          <w:sz w:val="22"/>
          <w:szCs w:val="22"/>
        </w:rPr>
      </w:pPr>
      <w:r w:rsidRPr="00C55732">
        <w:rPr>
          <w:rFonts w:ascii="Arial" w:hAnsi="Arial" w:cs="Arial"/>
          <w:b/>
          <w:bCs/>
          <w:sz w:val="22"/>
          <w:szCs w:val="22"/>
        </w:rPr>
        <w:t>Emergency:</w:t>
      </w:r>
      <w:r w:rsidRPr="00C55732">
        <w:rPr>
          <w:rFonts w:ascii="Arial" w:hAnsi="Arial" w:cs="Arial"/>
          <w:sz w:val="22"/>
          <w:szCs w:val="22"/>
        </w:rPr>
        <w:t xml:space="preserve"> Police </w:t>
      </w:r>
      <w:r w:rsidRPr="00C55732">
        <w:rPr>
          <w:rFonts w:ascii="Arial" w:hAnsi="Arial" w:cs="Arial"/>
          <w:b/>
          <w:bCs/>
          <w:sz w:val="22"/>
          <w:szCs w:val="22"/>
        </w:rPr>
        <w:t>999</w:t>
      </w:r>
      <w:r w:rsidRPr="00C55732">
        <w:rPr>
          <w:rFonts w:ascii="Arial" w:hAnsi="Arial" w:cs="Arial"/>
          <w:sz w:val="22"/>
          <w:szCs w:val="22"/>
        </w:rPr>
        <w:t>; non</w:t>
      </w:r>
      <w:r w:rsidRPr="00C55732">
        <w:rPr>
          <w:rFonts w:ascii="Arial" w:hAnsi="Arial" w:cs="Arial"/>
          <w:sz w:val="22"/>
          <w:szCs w:val="22"/>
        </w:rPr>
        <w:noBreakHyphen/>
        <w:t xml:space="preserve">emergency </w:t>
      </w:r>
      <w:r w:rsidRPr="00C55732">
        <w:rPr>
          <w:rFonts w:ascii="Arial" w:hAnsi="Arial" w:cs="Arial"/>
          <w:b/>
          <w:bCs/>
          <w:sz w:val="22"/>
          <w:szCs w:val="22"/>
        </w:rPr>
        <w:t>101</w:t>
      </w:r>
      <w:r w:rsidRPr="00C55732">
        <w:rPr>
          <w:rFonts w:ascii="Arial" w:hAnsi="Arial" w:cs="Arial"/>
          <w:sz w:val="22"/>
          <w:szCs w:val="22"/>
        </w:rPr>
        <w:t>. (Standard practice; align with local policy.)</w:t>
      </w:r>
    </w:p>
    <w:p w14:paraId="1FD1D650" w14:textId="2A76BA5F" w:rsidR="00CA21A3" w:rsidRPr="00C55732" w:rsidRDefault="00CA21A3" w:rsidP="00DA4BE0">
      <w:pPr>
        <w:rPr>
          <w:rFonts w:ascii="Arial" w:hAnsi="Arial" w:cs="Arial"/>
          <w:sz w:val="22"/>
          <w:szCs w:val="22"/>
        </w:rPr>
      </w:pPr>
    </w:p>
    <w:p w14:paraId="501776EE" w14:textId="1BFBD935" w:rsidR="00CA21A3" w:rsidRPr="00DA4BE0" w:rsidRDefault="00DA4BE0" w:rsidP="0099215C">
      <w:pPr>
        <w:spacing w:after="160"/>
        <w:rPr>
          <w:rFonts w:ascii="Arial" w:hAnsi="Arial" w:cs="Arial"/>
          <w:b/>
          <w:bCs/>
        </w:rPr>
      </w:pPr>
      <w:r w:rsidRPr="00DA4BE0">
        <w:rPr>
          <w:rFonts w:ascii="Arial" w:hAnsi="Arial" w:cs="Arial"/>
          <w:b/>
          <w:bCs/>
        </w:rPr>
        <w:t>20.</w:t>
      </w:r>
      <w:r w:rsidR="00CA21A3" w:rsidRPr="00DA4BE0">
        <w:rPr>
          <w:rFonts w:ascii="Arial" w:hAnsi="Arial" w:cs="Arial"/>
          <w:b/>
          <w:bCs/>
        </w:rPr>
        <w:t xml:space="preserve"> Whistleblowing &amp; Complaints</w:t>
      </w:r>
    </w:p>
    <w:p w14:paraId="2F3A6752" w14:textId="2BA9C1A6" w:rsidR="00CA21A3" w:rsidRPr="00C55732" w:rsidRDefault="00CA21A3" w:rsidP="0099215C">
      <w:pPr>
        <w:spacing w:after="160"/>
        <w:rPr>
          <w:rFonts w:ascii="Arial" w:hAnsi="Arial" w:cs="Arial"/>
          <w:sz w:val="22"/>
          <w:szCs w:val="22"/>
        </w:rPr>
      </w:pPr>
      <w:r w:rsidRPr="00C55732">
        <w:rPr>
          <w:rFonts w:ascii="Arial" w:hAnsi="Arial" w:cs="Arial"/>
          <w:sz w:val="22"/>
          <w:szCs w:val="22"/>
        </w:rPr>
        <w:t xml:space="preserve">NMWN encourages staff/volunteers to raise concerns. We follow our Whistleblowing Policy and will engage relevant agencies promptly. Charity Commission offers confidential whistleblowing via </w:t>
      </w:r>
      <w:r w:rsidRPr="00C55732">
        <w:rPr>
          <w:rFonts w:ascii="Arial" w:hAnsi="Arial" w:cs="Arial"/>
          <w:b/>
          <w:bCs/>
          <w:sz w:val="22"/>
          <w:szCs w:val="22"/>
        </w:rPr>
        <w:t>Protect</w:t>
      </w:r>
      <w:r w:rsidRPr="00C55732">
        <w:rPr>
          <w:rFonts w:ascii="Arial" w:hAnsi="Arial" w:cs="Arial"/>
          <w:sz w:val="22"/>
          <w:szCs w:val="22"/>
        </w:rPr>
        <w:t xml:space="preserve">; trustees remain accountable for safeguarding governance. </w:t>
      </w:r>
    </w:p>
    <w:p w14:paraId="6E9A8CFA" w14:textId="27D8A9C7" w:rsidR="00CA21A3" w:rsidRDefault="00CA21A3" w:rsidP="0099215C">
      <w:pPr>
        <w:spacing w:after="160"/>
        <w:rPr>
          <w:rFonts w:ascii="Arial" w:hAnsi="Arial" w:cs="Arial"/>
          <w:sz w:val="22"/>
          <w:szCs w:val="22"/>
        </w:rPr>
      </w:pPr>
    </w:p>
    <w:p w14:paraId="710FEDE2" w14:textId="77777777" w:rsidR="00DA4BE0" w:rsidRDefault="00DA4BE0" w:rsidP="0099215C">
      <w:pPr>
        <w:spacing w:after="160"/>
        <w:rPr>
          <w:rFonts w:ascii="Arial" w:hAnsi="Arial" w:cs="Arial"/>
          <w:sz w:val="22"/>
          <w:szCs w:val="22"/>
        </w:rPr>
      </w:pPr>
    </w:p>
    <w:p w14:paraId="45ECF25D" w14:textId="77777777" w:rsidR="00DA4BE0" w:rsidRPr="00C55732" w:rsidRDefault="00DA4BE0" w:rsidP="0099215C">
      <w:pPr>
        <w:spacing w:after="160"/>
        <w:rPr>
          <w:rFonts w:ascii="Arial" w:hAnsi="Arial" w:cs="Arial"/>
          <w:sz w:val="22"/>
          <w:szCs w:val="22"/>
        </w:rPr>
      </w:pPr>
    </w:p>
    <w:p w14:paraId="53DF5679" w14:textId="77777777" w:rsidR="00DA4BE0" w:rsidRDefault="00DA4BE0" w:rsidP="0099215C">
      <w:pPr>
        <w:spacing w:after="160"/>
        <w:rPr>
          <w:rFonts w:ascii="Arial" w:hAnsi="Arial" w:cs="Arial"/>
          <w:b/>
          <w:bCs/>
          <w:sz w:val="22"/>
          <w:szCs w:val="22"/>
        </w:rPr>
      </w:pPr>
    </w:p>
    <w:p w14:paraId="3A1F4B02" w14:textId="3A054B8E" w:rsidR="00CA21A3" w:rsidRPr="00DA4BE0" w:rsidRDefault="00DA4BE0" w:rsidP="0099215C">
      <w:pPr>
        <w:spacing w:after="160"/>
        <w:rPr>
          <w:rFonts w:ascii="Arial" w:hAnsi="Arial" w:cs="Arial"/>
          <w:b/>
          <w:bCs/>
        </w:rPr>
      </w:pPr>
      <w:r w:rsidRPr="00DA4BE0">
        <w:rPr>
          <w:rFonts w:ascii="Arial" w:hAnsi="Arial" w:cs="Arial"/>
          <w:b/>
          <w:bCs/>
        </w:rPr>
        <w:t>21</w:t>
      </w:r>
      <w:r w:rsidR="00CA21A3" w:rsidRPr="00DA4BE0">
        <w:rPr>
          <w:rFonts w:ascii="Arial" w:hAnsi="Arial" w:cs="Arial"/>
          <w:b/>
          <w:bCs/>
        </w:rPr>
        <w:t>. Monitoring, Assurance &amp; Review</w:t>
      </w:r>
    </w:p>
    <w:p w14:paraId="5D8D4CB0" w14:textId="3DF5F3E9" w:rsidR="00CA21A3" w:rsidRPr="00C55732" w:rsidRDefault="00CA21A3" w:rsidP="0099215C">
      <w:pPr>
        <w:numPr>
          <w:ilvl w:val="0"/>
          <w:numId w:val="18"/>
        </w:numPr>
        <w:spacing w:after="160"/>
        <w:rPr>
          <w:rFonts w:ascii="Arial" w:hAnsi="Arial" w:cs="Arial"/>
          <w:sz w:val="22"/>
          <w:szCs w:val="22"/>
        </w:rPr>
      </w:pPr>
      <w:r w:rsidRPr="00C55732">
        <w:rPr>
          <w:rFonts w:ascii="Arial" w:hAnsi="Arial" w:cs="Arial"/>
          <w:b/>
          <w:bCs/>
          <w:sz w:val="22"/>
          <w:szCs w:val="22"/>
        </w:rPr>
        <w:t>Quarterly</w:t>
      </w:r>
      <w:r w:rsidRPr="00C55732">
        <w:rPr>
          <w:rFonts w:ascii="Arial" w:hAnsi="Arial" w:cs="Arial"/>
          <w:sz w:val="22"/>
          <w:szCs w:val="22"/>
        </w:rPr>
        <w:t xml:space="preserve"> review of Prevent incidents/near</w:t>
      </w:r>
      <w:r w:rsidRPr="00C55732">
        <w:rPr>
          <w:rFonts w:ascii="Arial" w:hAnsi="Arial" w:cs="Arial"/>
          <w:sz w:val="22"/>
          <w:szCs w:val="22"/>
        </w:rPr>
        <w:noBreakHyphen/>
        <w:t xml:space="preserve">misses by </w:t>
      </w:r>
      <w:proofErr w:type="gramStart"/>
      <w:r w:rsidRPr="00C55732">
        <w:rPr>
          <w:rFonts w:ascii="Arial" w:hAnsi="Arial" w:cs="Arial"/>
          <w:sz w:val="22"/>
          <w:szCs w:val="22"/>
        </w:rPr>
        <w:t>DSL;</w:t>
      </w:r>
      <w:proofErr w:type="gramEnd"/>
      <w:r w:rsidRPr="00C55732">
        <w:rPr>
          <w:rFonts w:ascii="Arial" w:hAnsi="Arial" w:cs="Arial"/>
          <w:sz w:val="22"/>
          <w:szCs w:val="22"/>
        </w:rPr>
        <w:t xml:space="preserve"> </w:t>
      </w:r>
      <w:r w:rsidRPr="00C55732">
        <w:rPr>
          <w:rFonts w:ascii="Arial" w:hAnsi="Arial" w:cs="Arial"/>
          <w:b/>
          <w:bCs/>
          <w:sz w:val="22"/>
          <w:szCs w:val="22"/>
        </w:rPr>
        <w:t>annual</w:t>
      </w:r>
      <w:r w:rsidRPr="00C55732">
        <w:rPr>
          <w:rFonts w:ascii="Arial" w:hAnsi="Arial" w:cs="Arial"/>
          <w:sz w:val="22"/>
          <w:szCs w:val="22"/>
        </w:rPr>
        <w:t xml:space="preserve"> Board review of policy, risk assessment, and training compliance. </w:t>
      </w:r>
    </w:p>
    <w:p w14:paraId="10C3E849" w14:textId="1F9B0976" w:rsidR="00CA21A3" w:rsidRPr="00C55732" w:rsidRDefault="00CA21A3" w:rsidP="0099215C">
      <w:pPr>
        <w:numPr>
          <w:ilvl w:val="0"/>
          <w:numId w:val="18"/>
        </w:numPr>
        <w:spacing w:after="160"/>
        <w:rPr>
          <w:rFonts w:ascii="Arial" w:hAnsi="Arial" w:cs="Arial"/>
          <w:sz w:val="22"/>
          <w:szCs w:val="22"/>
        </w:rPr>
      </w:pPr>
      <w:r w:rsidRPr="00C55732">
        <w:rPr>
          <w:rFonts w:ascii="Arial" w:hAnsi="Arial" w:cs="Arial"/>
          <w:sz w:val="22"/>
          <w:szCs w:val="22"/>
        </w:rPr>
        <w:t xml:space="preserve">Keep evidence of </w:t>
      </w:r>
      <w:r w:rsidRPr="00C55732">
        <w:rPr>
          <w:rFonts w:ascii="Arial" w:hAnsi="Arial" w:cs="Arial"/>
          <w:b/>
          <w:bCs/>
          <w:sz w:val="22"/>
          <w:szCs w:val="22"/>
        </w:rPr>
        <w:t>training completion</w:t>
      </w:r>
      <w:r w:rsidRPr="00C55732">
        <w:rPr>
          <w:rFonts w:ascii="Arial" w:hAnsi="Arial" w:cs="Arial"/>
          <w:sz w:val="22"/>
          <w:szCs w:val="22"/>
        </w:rPr>
        <w:t xml:space="preserve"> and </w:t>
      </w:r>
      <w:r w:rsidRPr="00C55732">
        <w:rPr>
          <w:rFonts w:ascii="Arial" w:hAnsi="Arial" w:cs="Arial"/>
          <w:b/>
          <w:bCs/>
          <w:sz w:val="22"/>
          <w:szCs w:val="22"/>
        </w:rPr>
        <w:t>referral outcomes</w:t>
      </w:r>
      <w:r w:rsidRPr="00C55732">
        <w:rPr>
          <w:rFonts w:ascii="Arial" w:hAnsi="Arial" w:cs="Arial"/>
          <w:sz w:val="22"/>
          <w:szCs w:val="22"/>
        </w:rPr>
        <w:t xml:space="preserve">; cooperate with local partners on case closure/review per Channel guidance. </w:t>
      </w:r>
    </w:p>
    <w:p w14:paraId="262AF11A" w14:textId="77777777" w:rsidR="00641749" w:rsidRDefault="00641749" w:rsidP="00641749">
      <w:pPr>
        <w:rPr>
          <w:rFonts w:ascii="Arial" w:hAnsi="Arial" w:cs="Arial"/>
          <w:b/>
          <w:bCs/>
          <w:sz w:val="22"/>
          <w:szCs w:val="22"/>
        </w:rPr>
      </w:pPr>
    </w:p>
    <w:p w14:paraId="5CD47C1D" w14:textId="03F9EDF8" w:rsidR="00CA21A3" w:rsidRPr="00641749" w:rsidRDefault="00DA4BE0" w:rsidP="0099215C">
      <w:pPr>
        <w:spacing w:after="160"/>
        <w:rPr>
          <w:rFonts w:ascii="Arial" w:hAnsi="Arial" w:cs="Arial"/>
          <w:b/>
          <w:bCs/>
        </w:rPr>
      </w:pPr>
      <w:r w:rsidRPr="00641749">
        <w:rPr>
          <w:rFonts w:ascii="Arial" w:hAnsi="Arial" w:cs="Arial"/>
          <w:b/>
          <w:bCs/>
        </w:rPr>
        <w:t>22.</w:t>
      </w:r>
      <w:r w:rsidR="00CA21A3" w:rsidRPr="00641749">
        <w:rPr>
          <w:rFonts w:ascii="Arial" w:hAnsi="Arial" w:cs="Arial"/>
          <w:b/>
          <w:bCs/>
        </w:rPr>
        <w:t xml:space="preserve"> Equality, Inclusion &amp; Community Confidence</w:t>
      </w:r>
    </w:p>
    <w:p w14:paraId="5EAA4292" w14:textId="23D67834" w:rsidR="00CA21A3" w:rsidRPr="00C55732" w:rsidRDefault="00CA21A3" w:rsidP="0099215C">
      <w:pPr>
        <w:spacing w:after="160"/>
        <w:rPr>
          <w:rFonts w:ascii="Arial" w:hAnsi="Arial" w:cs="Arial"/>
          <w:sz w:val="22"/>
          <w:szCs w:val="22"/>
        </w:rPr>
      </w:pPr>
      <w:r w:rsidRPr="00C55732">
        <w:rPr>
          <w:rFonts w:ascii="Arial" w:hAnsi="Arial" w:cs="Arial"/>
          <w:sz w:val="22"/>
          <w:szCs w:val="22"/>
        </w:rPr>
        <w:t xml:space="preserve">NMWN’s practice must </w:t>
      </w:r>
      <w:r w:rsidRPr="00C55732">
        <w:rPr>
          <w:rFonts w:ascii="Arial" w:hAnsi="Arial" w:cs="Arial"/>
          <w:b/>
          <w:bCs/>
          <w:sz w:val="22"/>
          <w:szCs w:val="22"/>
        </w:rPr>
        <w:t>uphold equality</w:t>
      </w:r>
      <w:r w:rsidRPr="00C55732">
        <w:rPr>
          <w:rFonts w:ascii="Arial" w:hAnsi="Arial" w:cs="Arial"/>
          <w:sz w:val="22"/>
          <w:szCs w:val="22"/>
        </w:rPr>
        <w:t xml:space="preserve">, avoid discrimination, and minimise community harm. We will use proportionate, supportive interventions and </w:t>
      </w:r>
      <w:r w:rsidRPr="00C55732">
        <w:rPr>
          <w:rFonts w:ascii="Arial" w:hAnsi="Arial" w:cs="Arial"/>
          <w:b/>
          <w:bCs/>
          <w:sz w:val="22"/>
          <w:szCs w:val="22"/>
        </w:rPr>
        <w:t>early help</w:t>
      </w:r>
      <w:r w:rsidRPr="00C55732">
        <w:rPr>
          <w:rFonts w:ascii="Arial" w:hAnsi="Arial" w:cs="Arial"/>
          <w:sz w:val="22"/>
          <w:szCs w:val="22"/>
        </w:rPr>
        <w:t xml:space="preserve">, working with local partners to </w:t>
      </w:r>
      <w:r w:rsidRPr="00C55732">
        <w:rPr>
          <w:rFonts w:ascii="Arial" w:hAnsi="Arial" w:cs="Arial"/>
          <w:b/>
          <w:bCs/>
          <w:sz w:val="22"/>
          <w:szCs w:val="22"/>
        </w:rPr>
        <w:t>reduce permissive environments</w:t>
      </w:r>
      <w:r w:rsidRPr="00C55732">
        <w:rPr>
          <w:rFonts w:ascii="Arial" w:hAnsi="Arial" w:cs="Arial"/>
          <w:sz w:val="22"/>
          <w:szCs w:val="22"/>
        </w:rPr>
        <w:t xml:space="preserve"> for radicalising influences while protecting civil liberties. (Reflects aims in updated guidance and Charity Commission expectations.) </w:t>
      </w:r>
    </w:p>
    <w:p w14:paraId="669E00E6" w14:textId="77777777" w:rsidR="00D22530" w:rsidRPr="003A2EE7" w:rsidRDefault="00D22530" w:rsidP="00D22530">
      <w:pPr>
        <w:jc w:val="both"/>
        <w:rPr>
          <w:rFonts w:ascii="Arial" w:hAnsi="Arial" w:cs="Arial"/>
          <w:sz w:val="22"/>
          <w:szCs w:val="22"/>
        </w:rPr>
      </w:pPr>
    </w:p>
    <w:p w14:paraId="569569D2" w14:textId="77777777" w:rsidR="00D22530" w:rsidRPr="00C30E2E" w:rsidRDefault="00D22530" w:rsidP="00D22530">
      <w:pPr>
        <w:spacing w:line="278" w:lineRule="auto"/>
        <w:rPr>
          <w:rFonts w:ascii="Arial" w:hAnsi="Arial" w:cs="Arial"/>
        </w:rPr>
      </w:pPr>
    </w:p>
    <w:p w14:paraId="4BF2538F" w14:textId="77777777" w:rsidR="00D22530" w:rsidRPr="00C55732" w:rsidRDefault="00D22530" w:rsidP="0099215C">
      <w:pPr>
        <w:spacing w:after="160"/>
        <w:rPr>
          <w:rFonts w:ascii="Arial" w:hAnsi="Arial" w:cs="Arial"/>
          <w:sz w:val="22"/>
          <w:szCs w:val="22"/>
        </w:rPr>
      </w:pPr>
    </w:p>
    <w:p w14:paraId="5E969413" w14:textId="77777777" w:rsidR="00C37480" w:rsidRPr="00C55732" w:rsidRDefault="00C37480" w:rsidP="0099215C">
      <w:pPr>
        <w:spacing w:after="160"/>
        <w:rPr>
          <w:rFonts w:ascii="Arial" w:hAnsi="Arial" w:cs="Arial"/>
          <w:sz w:val="22"/>
          <w:szCs w:val="22"/>
        </w:rPr>
      </w:pPr>
    </w:p>
    <w:sectPr w:rsidR="00C37480" w:rsidRPr="00C55732" w:rsidSect="00524467">
      <w:headerReference w:type="default" r:id="rId10"/>
      <w:footerReference w:type="even" r:id="rId11"/>
      <w:footerReference w:type="defaul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D68D" w14:textId="77777777" w:rsidR="00DF4978" w:rsidRDefault="00DF4978" w:rsidP="00770B64">
      <w:r>
        <w:separator/>
      </w:r>
    </w:p>
  </w:endnote>
  <w:endnote w:type="continuationSeparator" w:id="0">
    <w:p w14:paraId="66675178" w14:textId="77777777" w:rsidR="00DF4978" w:rsidRDefault="00DF4978" w:rsidP="0077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B50A" w14:textId="77777777" w:rsidR="00770B64" w:rsidRDefault="00770B64" w:rsidP="005F76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E375C" w14:textId="77777777" w:rsidR="00770B64" w:rsidRDefault="00770B64" w:rsidP="00770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5272" w14:textId="77777777" w:rsidR="00770B64" w:rsidRDefault="00770B64" w:rsidP="005F76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994">
      <w:rPr>
        <w:rStyle w:val="PageNumber"/>
        <w:noProof/>
      </w:rPr>
      <w:t>1</w:t>
    </w:r>
    <w:r>
      <w:rPr>
        <w:rStyle w:val="PageNumber"/>
      </w:rPr>
      <w:fldChar w:fldCharType="end"/>
    </w:r>
  </w:p>
  <w:p w14:paraId="6673E51C" w14:textId="77777777" w:rsidR="00770B64" w:rsidRDefault="00770B64" w:rsidP="00770B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D336" w14:textId="77777777" w:rsidR="00DF4978" w:rsidRDefault="00DF4978" w:rsidP="00770B64">
      <w:r>
        <w:separator/>
      </w:r>
    </w:p>
  </w:footnote>
  <w:footnote w:type="continuationSeparator" w:id="0">
    <w:p w14:paraId="6A68EB43" w14:textId="77777777" w:rsidR="00DF4978" w:rsidRDefault="00DF4978" w:rsidP="0077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D5E4" w14:textId="00AE39CD" w:rsidR="00386A3F" w:rsidRDefault="000F1DB9">
    <w:pPr>
      <w:pStyle w:val="Header"/>
    </w:pPr>
    <w:r w:rsidRPr="00E571EE">
      <w:rPr>
        <w:noProof/>
        <w:lang w:eastAsia="en-GB"/>
      </w:rPr>
      <w:drawing>
        <wp:inline distT="0" distB="0" distL="0" distR="0" wp14:anchorId="36EC1DCD" wp14:editId="1B402162">
          <wp:extent cx="2667635" cy="859790"/>
          <wp:effectExtent l="0" t="0" r="0" b="0"/>
          <wp:docPr id="126786896" name="Picture 126786896" descr="C:\Users\NMWN\Desktop\2020\Templates\NMWN 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WN\Desktop\2020\Templates\NMWN logo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859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C4EB27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31F7C"/>
    <w:multiLevelType w:val="multilevel"/>
    <w:tmpl w:val="072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2E19"/>
    <w:multiLevelType w:val="multilevel"/>
    <w:tmpl w:val="585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D2A53"/>
    <w:multiLevelType w:val="multilevel"/>
    <w:tmpl w:val="BEB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253F"/>
    <w:multiLevelType w:val="multilevel"/>
    <w:tmpl w:val="156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33075"/>
    <w:multiLevelType w:val="multilevel"/>
    <w:tmpl w:val="509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34A41"/>
    <w:multiLevelType w:val="multilevel"/>
    <w:tmpl w:val="B58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76802"/>
    <w:multiLevelType w:val="multilevel"/>
    <w:tmpl w:val="BAFE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D6378"/>
    <w:multiLevelType w:val="multilevel"/>
    <w:tmpl w:val="889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E5C1C"/>
    <w:multiLevelType w:val="multilevel"/>
    <w:tmpl w:val="BF5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37ECF"/>
    <w:multiLevelType w:val="multilevel"/>
    <w:tmpl w:val="56B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B2462"/>
    <w:multiLevelType w:val="multilevel"/>
    <w:tmpl w:val="0F6E4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00031"/>
    <w:multiLevelType w:val="multilevel"/>
    <w:tmpl w:val="1CA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90E84"/>
    <w:multiLevelType w:val="multilevel"/>
    <w:tmpl w:val="0C3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13E40"/>
    <w:multiLevelType w:val="multilevel"/>
    <w:tmpl w:val="D2B4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80600"/>
    <w:multiLevelType w:val="multilevel"/>
    <w:tmpl w:val="C2B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D3D58"/>
    <w:multiLevelType w:val="multilevel"/>
    <w:tmpl w:val="193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47D4A"/>
    <w:multiLevelType w:val="multilevel"/>
    <w:tmpl w:val="99F4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72A2E"/>
    <w:multiLevelType w:val="hybridMultilevel"/>
    <w:tmpl w:val="BB28796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56D6D"/>
    <w:multiLevelType w:val="multilevel"/>
    <w:tmpl w:val="958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E3166"/>
    <w:multiLevelType w:val="multilevel"/>
    <w:tmpl w:val="A6E2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B6192"/>
    <w:multiLevelType w:val="multilevel"/>
    <w:tmpl w:val="DBF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632144">
    <w:abstractNumId w:val="0"/>
  </w:num>
  <w:num w:numId="2" w16cid:durableId="1595161579">
    <w:abstractNumId w:val="18"/>
  </w:num>
  <w:num w:numId="3" w16cid:durableId="1473399268">
    <w:abstractNumId w:val="20"/>
  </w:num>
  <w:num w:numId="4" w16cid:durableId="1804276957">
    <w:abstractNumId w:val="15"/>
  </w:num>
  <w:num w:numId="5" w16cid:durableId="1316955869">
    <w:abstractNumId w:val="4"/>
  </w:num>
  <w:num w:numId="6" w16cid:durableId="767896490">
    <w:abstractNumId w:val="8"/>
  </w:num>
  <w:num w:numId="7" w16cid:durableId="313025216">
    <w:abstractNumId w:val="12"/>
  </w:num>
  <w:num w:numId="8" w16cid:durableId="1071270469">
    <w:abstractNumId w:val="9"/>
  </w:num>
  <w:num w:numId="9" w16cid:durableId="1446659480">
    <w:abstractNumId w:val="21"/>
  </w:num>
  <w:num w:numId="10" w16cid:durableId="1822429586">
    <w:abstractNumId w:val="3"/>
  </w:num>
  <w:num w:numId="11" w16cid:durableId="1861120437">
    <w:abstractNumId w:val="11"/>
  </w:num>
  <w:num w:numId="12" w16cid:durableId="1749959067">
    <w:abstractNumId w:val="19"/>
  </w:num>
  <w:num w:numId="13" w16cid:durableId="1144467010">
    <w:abstractNumId w:val="5"/>
  </w:num>
  <w:num w:numId="14" w16cid:durableId="248009592">
    <w:abstractNumId w:val="13"/>
  </w:num>
  <w:num w:numId="15" w16cid:durableId="1462000289">
    <w:abstractNumId w:val="17"/>
  </w:num>
  <w:num w:numId="16" w16cid:durableId="1418596225">
    <w:abstractNumId w:val="6"/>
  </w:num>
  <w:num w:numId="17" w16cid:durableId="411508997">
    <w:abstractNumId w:val="1"/>
  </w:num>
  <w:num w:numId="18" w16cid:durableId="1648439852">
    <w:abstractNumId w:val="16"/>
  </w:num>
  <w:num w:numId="19" w16cid:durableId="1581480809">
    <w:abstractNumId w:val="2"/>
  </w:num>
  <w:num w:numId="20" w16cid:durableId="1925263988">
    <w:abstractNumId w:val="7"/>
  </w:num>
  <w:num w:numId="21" w16cid:durableId="456795450">
    <w:abstractNumId w:val="10"/>
  </w:num>
  <w:num w:numId="22" w16cid:durableId="1127308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4F"/>
    <w:rsid w:val="00003C72"/>
    <w:rsid w:val="00023623"/>
    <w:rsid w:val="000328FD"/>
    <w:rsid w:val="00034157"/>
    <w:rsid w:val="0004698E"/>
    <w:rsid w:val="000504E5"/>
    <w:rsid w:val="00060F7A"/>
    <w:rsid w:val="00086E8C"/>
    <w:rsid w:val="00093498"/>
    <w:rsid w:val="000A4697"/>
    <w:rsid w:val="000C33BC"/>
    <w:rsid w:val="000D6A0D"/>
    <w:rsid w:val="000D76E4"/>
    <w:rsid w:val="000E75DC"/>
    <w:rsid w:val="000F1076"/>
    <w:rsid w:val="000F1DB9"/>
    <w:rsid w:val="00107733"/>
    <w:rsid w:val="00112049"/>
    <w:rsid w:val="00121BFB"/>
    <w:rsid w:val="00160617"/>
    <w:rsid w:val="0016147F"/>
    <w:rsid w:val="00161A29"/>
    <w:rsid w:val="00182F38"/>
    <w:rsid w:val="00192AAF"/>
    <w:rsid w:val="00193BDA"/>
    <w:rsid w:val="001A2967"/>
    <w:rsid w:val="001D1DB9"/>
    <w:rsid w:val="001F1C8A"/>
    <w:rsid w:val="001F37B9"/>
    <w:rsid w:val="002322D7"/>
    <w:rsid w:val="00286D15"/>
    <w:rsid w:val="002B6623"/>
    <w:rsid w:val="0031066A"/>
    <w:rsid w:val="00324F06"/>
    <w:rsid w:val="003314ED"/>
    <w:rsid w:val="00371B48"/>
    <w:rsid w:val="00383E2B"/>
    <w:rsid w:val="00386A3F"/>
    <w:rsid w:val="00390771"/>
    <w:rsid w:val="003A7AFC"/>
    <w:rsid w:val="003C0361"/>
    <w:rsid w:val="003D5485"/>
    <w:rsid w:val="004256F4"/>
    <w:rsid w:val="00446880"/>
    <w:rsid w:val="004825F3"/>
    <w:rsid w:val="00486B84"/>
    <w:rsid w:val="00497B15"/>
    <w:rsid w:val="004A1DB6"/>
    <w:rsid w:val="004A6971"/>
    <w:rsid w:val="004B678E"/>
    <w:rsid w:val="004F51CA"/>
    <w:rsid w:val="00510CEF"/>
    <w:rsid w:val="00524467"/>
    <w:rsid w:val="00533519"/>
    <w:rsid w:val="0053530C"/>
    <w:rsid w:val="00557014"/>
    <w:rsid w:val="00563733"/>
    <w:rsid w:val="0056546E"/>
    <w:rsid w:val="005B208A"/>
    <w:rsid w:val="0060644F"/>
    <w:rsid w:val="00612B7F"/>
    <w:rsid w:val="00630811"/>
    <w:rsid w:val="00631711"/>
    <w:rsid w:val="00641749"/>
    <w:rsid w:val="0064680A"/>
    <w:rsid w:val="00676A90"/>
    <w:rsid w:val="00685F9A"/>
    <w:rsid w:val="006A1BC7"/>
    <w:rsid w:val="006B0E7A"/>
    <w:rsid w:val="006D4E53"/>
    <w:rsid w:val="006F4D14"/>
    <w:rsid w:val="0073179F"/>
    <w:rsid w:val="00743F63"/>
    <w:rsid w:val="00746DB5"/>
    <w:rsid w:val="007676F6"/>
    <w:rsid w:val="00770B64"/>
    <w:rsid w:val="00775433"/>
    <w:rsid w:val="00781A70"/>
    <w:rsid w:val="00782658"/>
    <w:rsid w:val="00791C1D"/>
    <w:rsid w:val="00795BF7"/>
    <w:rsid w:val="007C73B8"/>
    <w:rsid w:val="007E7BB9"/>
    <w:rsid w:val="008039BD"/>
    <w:rsid w:val="008255B2"/>
    <w:rsid w:val="008462D8"/>
    <w:rsid w:val="0085531B"/>
    <w:rsid w:val="00862B69"/>
    <w:rsid w:val="00897970"/>
    <w:rsid w:val="008A3375"/>
    <w:rsid w:val="008B2E0B"/>
    <w:rsid w:val="008C024F"/>
    <w:rsid w:val="008C42A9"/>
    <w:rsid w:val="008D33BD"/>
    <w:rsid w:val="008F1F8E"/>
    <w:rsid w:val="009016A3"/>
    <w:rsid w:val="00916AD9"/>
    <w:rsid w:val="00916C61"/>
    <w:rsid w:val="00944EB2"/>
    <w:rsid w:val="00960D19"/>
    <w:rsid w:val="00972735"/>
    <w:rsid w:val="00990BEA"/>
    <w:rsid w:val="0099215C"/>
    <w:rsid w:val="009B7C7C"/>
    <w:rsid w:val="009C7E98"/>
    <w:rsid w:val="009F13C2"/>
    <w:rsid w:val="009F7352"/>
    <w:rsid w:val="00A13696"/>
    <w:rsid w:val="00A32647"/>
    <w:rsid w:val="00A32AA3"/>
    <w:rsid w:val="00A627F8"/>
    <w:rsid w:val="00A920E7"/>
    <w:rsid w:val="00AB3CB5"/>
    <w:rsid w:val="00AC1E39"/>
    <w:rsid w:val="00AE0A1C"/>
    <w:rsid w:val="00B16FE3"/>
    <w:rsid w:val="00B25E28"/>
    <w:rsid w:val="00B61141"/>
    <w:rsid w:val="00B9208A"/>
    <w:rsid w:val="00BB02A8"/>
    <w:rsid w:val="00BC4099"/>
    <w:rsid w:val="00BE589D"/>
    <w:rsid w:val="00C15CE5"/>
    <w:rsid w:val="00C26C8E"/>
    <w:rsid w:val="00C32599"/>
    <w:rsid w:val="00C36994"/>
    <w:rsid w:val="00C37480"/>
    <w:rsid w:val="00C50248"/>
    <w:rsid w:val="00C525C5"/>
    <w:rsid w:val="00C5443F"/>
    <w:rsid w:val="00C55732"/>
    <w:rsid w:val="00C55C6F"/>
    <w:rsid w:val="00C71C3C"/>
    <w:rsid w:val="00C9510E"/>
    <w:rsid w:val="00CA21A3"/>
    <w:rsid w:val="00CA6115"/>
    <w:rsid w:val="00CD6B18"/>
    <w:rsid w:val="00D048DC"/>
    <w:rsid w:val="00D22530"/>
    <w:rsid w:val="00D25F36"/>
    <w:rsid w:val="00D32955"/>
    <w:rsid w:val="00D82EA5"/>
    <w:rsid w:val="00D87D6A"/>
    <w:rsid w:val="00DA0CF2"/>
    <w:rsid w:val="00DA4BE0"/>
    <w:rsid w:val="00DC78CA"/>
    <w:rsid w:val="00DF4978"/>
    <w:rsid w:val="00E1585E"/>
    <w:rsid w:val="00E21638"/>
    <w:rsid w:val="00E240A3"/>
    <w:rsid w:val="00E36FE8"/>
    <w:rsid w:val="00E47467"/>
    <w:rsid w:val="00E56B41"/>
    <w:rsid w:val="00E82742"/>
    <w:rsid w:val="00EB6D72"/>
    <w:rsid w:val="00EB79FB"/>
    <w:rsid w:val="00F47E4E"/>
    <w:rsid w:val="00F64136"/>
    <w:rsid w:val="00F86AC7"/>
    <w:rsid w:val="00FF6D5E"/>
    <w:rsid w:val="06524D19"/>
    <w:rsid w:val="14E427DC"/>
    <w:rsid w:val="1824DADD"/>
    <w:rsid w:val="18CD6572"/>
    <w:rsid w:val="33B032B0"/>
    <w:rsid w:val="35152AE9"/>
    <w:rsid w:val="3DB083A0"/>
    <w:rsid w:val="3FC624C9"/>
    <w:rsid w:val="4EA7C062"/>
    <w:rsid w:val="75618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EF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0B64"/>
    <w:pPr>
      <w:tabs>
        <w:tab w:val="center" w:pos="4513"/>
        <w:tab w:val="right" w:pos="9026"/>
      </w:tabs>
    </w:pPr>
  </w:style>
  <w:style w:type="character" w:customStyle="1" w:styleId="FooterChar">
    <w:name w:val="Footer Char"/>
    <w:basedOn w:val="DefaultParagraphFont"/>
    <w:link w:val="Footer"/>
    <w:uiPriority w:val="99"/>
    <w:rsid w:val="00770B64"/>
  </w:style>
  <w:style w:type="character" w:styleId="PageNumber">
    <w:name w:val="page number"/>
    <w:basedOn w:val="DefaultParagraphFont"/>
    <w:uiPriority w:val="99"/>
    <w:semiHidden/>
    <w:unhideWhenUsed/>
    <w:rsid w:val="00770B64"/>
  </w:style>
  <w:style w:type="paragraph" w:styleId="ListParagraph">
    <w:name w:val="List Paragraph"/>
    <w:basedOn w:val="Normal"/>
    <w:uiPriority w:val="34"/>
    <w:qFormat/>
    <w:rsid w:val="00524467"/>
    <w:pPr>
      <w:ind w:left="720"/>
      <w:contextualSpacing/>
    </w:pPr>
  </w:style>
  <w:style w:type="paragraph" w:customStyle="1" w:styleId="Normalreplace">
    <w:name w:val="Normal replace"/>
    <w:basedOn w:val="Normal"/>
    <w:rsid w:val="00C37480"/>
    <w:rPr>
      <w:rFonts w:ascii="Arial" w:eastAsia="Times New Roman" w:hAnsi="Arial" w:cs="Arial"/>
      <w:color w:val="FF9900"/>
    </w:rPr>
  </w:style>
  <w:style w:type="table" w:styleId="TableGrid">
    <w:name w:val="Table Grid"/>
    <w:basedOn w:val="TableNormal"/>
    <w:uiPriority w:val="39"/>
    <w:rsid w:val="00C3748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1A3"/>
    <w:rPr>
      <w:color w:val="0563C1" w:themeColor="hyperlink"/>
      <w:u w:val="single"/>
    </w:rPr>
  </w:style>
  <w:style w:type="character" w:styleId="UnresolvedMention">
    <w:name w:val="Unresolved Mention"/>
    <w:basedOn w:val="DefaultParagraphFont"/>
    <w:uiPriority w:val="99"/>
    <w:rsid w:val="00CA21A3"/>
    <w:rPr>
      <w:color w:val="605E5C"/>
      <w:shd w:val="clear" w:color="auto" w:fill="E1DFDD"/>
    </w:rPr>
  </w:style>
  <w:style w:type="paragraph" w:styleId="Header">
    <w:name w:val="header"/>
    <w:basedOn w:val="Normal"/>
    <w:link w:val="HeaderChar"/>
    <w:uiPriority w:val="99"/>
    <w:unhideWhenUsed/>
    <w:rsid w:val="00386A3F"/>
    <w:pPr>
      <w:tabs>
        <w:tab w:val="center" w:pos="4513"/>
        <w:tab w:val="right" w:pos="9026"/>
      </w:tabs>
    </w:pPr>
  </w:style>
  <w:style w:type="character" w:customStyle="1" w:styleId="HeaderChar">
    <w:name w:val="Header Char"/>
    <w:basedOn w:val="DefaultParagraphFont"/>
    <w:link w:val="Header"/>
    <w:uiPriority w:val="99"/>
    <w:rsid w:val="0038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1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ED62-F98D-4421-BEC2-03ECAA5966D2}">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customXml/itemProps2.xml><?xml version="1.0" encoding="utf-8"?>
<ds:datastoreItem xmlns:ds="http://schemas.openxmlformats.org/officeDocument/2006/customXml" ds:itemID="{40205532-FA46-4CF4-8546-E83A30217F18}">
  <ds:schemaRefs>
    <ds:schemaRef ds:uri="http://schemas.microsoft.com/sharepoint/v3/contenttype/forms"/>
  </ds:schemaRefs>
</ds:datastoreItem>
</file>

<file path=customXml/itemProps3.xml><?xml version="1.0" encoding="utf-8"?>
<ds:datastoreItem xmlns:ds="http://schemas.openxmlformats.org/officeDocument/2006/customXml" ds:itemID="{936F0512-95D5-4BC5-8FFA-8D234D0C8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1086</Words>
  <Characters>7277</Characters>
  <Application>Microsoft Office Word</Application>
  <DocSecurity>0</DocSecurity>
  <Lines>158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Rahime Ceylan</cp:lastModifiedBy>
  <cp:revision>33</cp:revision>
  <dcterms:created xsi:type="dcterms:W3CDTF">2021-10-19T13:46:00Z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